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7793B" w14:textId="77777777" w:rsidR="00504DE4" w:rsidRPr="007877B7" w:rsidRDefault="00504DE4">
      <w:pPr>
        <w:rPr>
          <w:lang w:val="hu-HU"/>
        </w:rPr>
      </w:pPr>
    </w:p>
    <w:p w14:paraId="120841C5" w14:textId="33356AF1" w:rsidR="002F7DDC" w:rsidRPr="00F85377" w:rsidRDefault="008848D2" w:rsidP="0071356A">
      <w:pPr>
        <w:jc w:val="center"/>
        <w:rPr>
          <w:b/>
          <w:bCs/>
          <w:color w:val="FF0000"/>
          <w:sz w:val="26"/>
          <w:szCs w:val="26"/>
        </w:rPr>
      </w:pPr>
      <w:r>
        <w:rPr>
          <w:b/>
          <w:bCs/>
          <w:color w:val="FF0000"/>
          <w:sz w:val="26"/>
          <w:szCs w:val="26"/>
        </w:rPr>
        <w:t xml:space="preserve">Working title: </w:t>
      </w:r>
      <w:r w:rsidR="00B022FD">
        <w:rPr>
          <w:b/>
          <w:bCs/>
          <w:color w:val="FF0000"/>
          <w:sz w:val="26"/>
          <w:szCs w:val="26"/>
        </w:rPr>
        <w:t>Baltic</w:t>
      </w:r>
      <w:r w:rsidR="003E1A2B">
        <w:rPr>
          <w:b/>
          <w:bCs/>
          <w:color w:val="FF0000"/>
          <w:sz w:val="26"/>
          <w:szCs w:val="26"/>
        </w:rPr>
        <w:t xml:space="preserve"> </w:t>
      </w:r>
      <w:r w:rsidR="0071356A" w:rsidRPr="00F85377">
        <w:rPr>
          <w:b/>
          <w:bCs/>
          <w:color w:val="FF0000"/>
          <w:sz w:val="26"/>
          <w:szCs w:val="26"/>
        </w:rPr>
        <w:t xml:space="preserve">civil </w:t>
      </w:r>
      <w:r w:rsidR="00074009" w:rsidRPr="00F85377">
        <w:rPr>
          <w:b/>
          <w:bCs/>
          <w:color w:val="FF0000"/>
          <w:sz w:val="26"/>
          <w:szCs w:val="26"/>
        </w:rPr>
        <w:t>defen</w:t>
      </w:r>
      <w:r w:rsidR="006F3358">
        <w:rPr>
          <w:b/>
          <w:bCs/>
          <w:color w:val="FF0000"/>
          <w:sz w:val="26"/>
          <w:szCs w:val="26"/>
        </w:rPr>
        <w:t>s</w:t>
      </w:r>
      <w:r w:rsidR="00074009" w:rsidRPr="00F85377">
        <w:rPr>
          <w:b/>
          <w:bCs/>
          <w:color w:val="FF0000"/>
          <w:sz w:val="26"/>
          <w:szCs w:val="26"/>
        </w:rPr>
        <w:t>e</w:t>
      </w:r>
      <w:r w:rsidR="00342336">
        <w:rPr>
          <w:b/>
          <w:bCs/>
          <w:color w:val="FF0000"/>
          <w:sz w:val="26"/>
          <w:szCs w:val="26"/>
        </w:rPr>
        <w:t xml:space="preserve"> </w:t>
      </w:r>
      <w:r w:rsidR="00394A24">
        <w:rPr>
          <w:b/>
          <w:bCs/>
          <w:color w:val="FF0000"/>
          <w:sz w:val="26"/>
          <w:szCs w:val="26"/>
        </w:rPr>
        <w:t>cooperation</w:t>
      </w:r>
      <w:r w:rsidR="0071356A" w:rsidRPr="00F85377">
        <w:rPr>
          <w:b/>
          <w:bCs/>
          <w:color w:val="FF0000"/>
          <w:sz w:val="26"/>
          <w:szCs w:val="26"/>
        </w:rPr>
        <w:t xml:space="preserve"> </w:t>
      </w:r>
      <w:r w:rsidR="00967FBD">
        <w:rPr>
          <w:b/>
          <w:bCs/>
          <w:color w:val="FF0000"/>
          <w:sz w:val="26"/>
          <w:szCs w:val="26"/>
        </w:rPr>
        <w:t xml:space="preserve">for complex </w:t>
      </w:r>
      <w:r w:rsidR="00B022FD">
        <w:rPr>
          <w:b/>
          <w:bCs/>
          <w:color w:val="FF0000"/>
          <w:sz w:val="26"/>
          <w:szCs w:val="26"/>
        </w:rPr>
        <w:t>emergencies</w:t>
      </w:r>
    </w:p>
    <w:p w14:paraId="26EDB755" w14:textId="77777777" w:rsidR="004D67E5" w:rsidRDefault="004D67E5" w:rsidP="004D67E5">
      <w:pPr>
        <w:rPr>
          <w:b/>
          <w:bCs/>
        </w:rPr>
      </w:pPr>
    </w:p>
    <w:p w14:paraId="6BCE95D0" w14:textId="0FFCA27B" w:rsidR="004D67E5" w:rsidRDefault="00BD6AF3" w:rsidP="004D67E5">
      <w:pPr>
        <w:widowControl/>
        <w:autoSpaceDE/>
        <w:autoSpaceDN/>
      </w:pPr>
      <w:r>
        <w:rPr>
          <w:b/>
          <w:bCs/>
        </w:rPr>
        <w:t>A</w:t>
      </w:r>
      <w:r w:rsidR="009E3458">
        <w:rPr>
          <w:b/>
          <w:bCs/>
        </w:rPr>
        <w:t>lignment with</w:t>
      </w:r>
      <w:r>
        <w:rPr>
          <w:b/>
          <w:bCs/>
        </w:rPr>
        <w:t xml:space="preserve"> components of</w:t>
      </w:r>
      <w:r w:rsidR="009E3458">
        <w:rPr>
          <w:b/>
          <w:bCs/>
        </w:rPr>
        <w:t xml:space="preserve"> </w:t>
      </w:r>
      <w:r w:rsidR="00617EB8">
        <w:rPr>
          <w:b/>
          <w:bCs/>
        </w:rPr>
        <w:t>EU</w:t>
      </w:r>
      <w:r w:rsidR="001C22C5" w:rsidRPr="001C22C5">
        <w:rPr>
          <w:b/>
          <w:bCs/>
        </w:rPr>
        <w:t xml:space="preserve"> disaster resilience goal</w:t>
      </w:r>
      <w:r w:rsidR="001C22C5">
        <w:rPr>
          <w:b/>
          <w:bCs/>
        </w:rPr>
        <w:t>s</w:t>
      </w:r>
      <w:r>
        <w:rPr>
          <w:b/>
          <w:bCs/>
        </w:rPr>
        <w:t>, UCPM general objectives and topic and priorities of the call</w:t>
      </w:r>
      <w:r w:rsidR="004D67E5">
        <w:t xml:space="preserve">: </w:t>
      </w:r>
    </w:p>
    <w:p w14:paraId="6D1AD979" w14:textId="6F1BB163" w:rsidR="00A872A6" w:rsidRDefault="00A872A6" w:rsidP="007A38E3">
      <w:pPr>
        <w:widowControl/>
        <w:autoSpaceDE/>
        <w:autoSpaceDN/>
      </w:pPr>
      <w:r w:rsidRPr="00A872A6">
        <w:rPr>
          <w:u w:val="single"/>
        </w:rPr>
        <w:t>Union disaster resilience goal</w:t>
      </w:r>
      <w:r w:rsidRPr="00A872A6">
        <w:t xml:space="preserve"> No. 5: ‘Secure – Ensuring a robust civil protection </w:t>
      </w:r>
      <w:proofErr w:type="gramStart"/>
      <w:r w:rsidRPr="00A872A6">
        <w:t>system</w:t>
      </w:r>
      <w:proofErr w:type="gramEnd"/>
    </w:p>
    <w:p w14:paraId="5C6C0760" w14:textId="3A67E0FA" w:rsidR="00FB18B0" w:rsidRDefault="00A872A6" w:rsidP="007A38E3">
      <w:pPr>
        <w:widowControl/>
        <w:autoSpaceDE/>
        <w:autoSpaceDN/>
      </w:pPr>
      <w:r>
        <w:rPr>
          <w:u w:val="single"/>
        </w:rPr>
        <w:t>Among g</w:t>
      </w:r>
      <w:r w:rsidR="007A38E3" w:rsidRPr="00A872A6">
        <w:rPr>
          <w:u w:val="single"/>
        </w:rPr>
        <w:t>eneral objectives of U</w:t>
      </w:r>
      <w:r w:rsidR="00FB18B0" w:rsidRPr="00A872A6">
        <w:rPr>
          <w:u w:val="single"/>
        </w:rPr>
        <w:t>CPM</w:t>
      </w:r>
      <w:r w:rsidR="007A38E3">
        <w:t xml:space="preserve">: </w:t>
      </w:r>
    </w:p>
    <w:p w14:paraId="4EAF1BEF" w14:textId="77777777" w:rsidR="00FB18B0" w:rsidRDefault="007A38E3" w:rsidP="00FB18B0">
      <w:pPr>
        <w:pStyle w:val="ListParagraph"/>
        <w:widowControl/>
        <w:numPr>
          <w:ilvl w:val="0"/>
          <w:numId w:val="6"/>
        </w:numPr>
        <w:autoSpaceDE/>
        <w:autoSpaceDN/>
      </w:pPr>
      <w:r>
        <w:t xml:space="preserve">achieve a higher level of protection against disasters with cross-border </w:t>
      </w:r>
      <w:proofErr w:type="gramStart"/>
      <w:r>
        <w:t>impacts</w:t>
      </w:r>
      <w:proofErr w:type="gramEnd"/>
    </w:p>
    <w:p w14:paraId="5C8004F5" w14:textId="77777777" w:rsidR="00FB18B0" w:rsidRDefault="007A38E3" w:rsidP="00017A33">
      <w:pPr>
        <w:pStyle w:val="ListParagraph"/>
        <w:widowControl/>
        <w:numPr>
          <w:ilvl w:val="0"/>
          <w:numId w:val="6"/>
        </w:numPr>
        <w:autoSpaceDE/>
        <w:autoSpaceDN/>
      </w:pPr>
      <w:r>
        <w:t>building new and developing further existing competencies in civil protection and DRM, learning, training</w:t>
      </w:r>
    </w:p>
    <w:p w14:paraId="2EDA2563" w14:textId="59874EE4" w:rsidR="00A72719" w:rsidRDefault="007A38E3" w:rsidP="000D3159">
      <w:pPr>
        <w:pStyle w:val="ListParagraph"/>
        <w:widowControl/>
        <w:numPr>
          <w:ilvl w:val="0"/>
          <w:numId w:val="6"/>
        </w:numPr>
        <w:autoSpaceDE/>
        <w:autoSpaceDN/>
      </w:pPr>
      <w:r>
        <w:t>strengthen</w:t>
      </w:r>
      <w:r w:rsidR="00FB18B0">
        <w:t>ing</w:t>
      </w:r>
      <w:r>
        <w:t xml:space="preserve"> knowledge partnerships between civil protection and DRM actor</w:t>
      </w:r>
      <w:r w:rsidR="000D3159">
        <w:t>s</w:t>
      </w:r>
    </w:p>
    <w:p w14:paraId="54D0B553" w14:textId="7551F86B" w:rsidR="00A72719" w:rsidRPr="00BD6AF3" w:rsidRDefault="00617EB8" w:rsidP="00A72719">
      <w:pPr>
        <w:rPr>
          <w:u w:val="single"/>
        </w:rPr>
      </w:pPr>
      <w:r>
        <w:rPr>
          <w:u w:val="single"/>
        </w:rPr>
        <w:t>Call for proposal t</w:t>
      </w:r>
      <w:r w:rsidR="00A72719" w:rsidRPr="00BD6AF3">
        <w:rPr>
          <w:u w:val="single"/>
        </w:rPr>
        <w:t xml:space="preserve">opic: Preparedness: </w:t>
      </w:r>
    </w:p>
    <w:p w14:paraId="66BD22E0" w14:textId="3CBBD8E7" w:rsidR="00A72719" w:rsidRDefault="00A72719" w:rsidP="00B70D2D">
      <w:pPr>
        <w:pStyle w:val="ListParagraph"/>
        <w:numPr>
          <w:ilvl w:val="0"/>
          <w:numId w:val="7"/>
        </w:numPr>
      </w:pPr>
      <w:r w:rsidRPr="00A72719">
        <w:t>increas</w:t>
      </w:r>
      <w:r>
        <w:t>ing</w:t>
      </w:r>
      <w:r w:rsidRPr="00A72719">
        <w:t xml:space="preserve"> the overall preparedness of the UCPM and its stakeholders through activities that address ongoing and emerging issues of systemic relevance.</w:t>
      </w:r>
    </w:p>
    <w:p w14:paraId="0B768425" w14:textId="02DF7337" w:rsidR="00A72719" w:rsidRDefault="00B70D2D" w:rsidP="000D3159">
      <w:pPr>
        <w:pStyle w:val="ListParagraph"/>
        <w:numPr>
          <w:ilvl w:val="0"/>
          <w:numId w:val="7"/>
        </w:numPr>
      </w:pPr>
      <w:r w:rsidRPr="00B70D2D">
        <w:t>go</w:t>
      </w:r>
      <w:r>
        <w:t>ing</w:t>
      </w:r>
      <w:r w:rsidRPr="00B70D2D">
        <w:t xml:space="preserve"> beyond traditional civil protection authorities</w:t>
      </w:r>
    </w:p>
    <w:p w14:paraId="59FA111A" w14:textId="77777777" w:rsidR="004D67E5" w:rsidRPr="00617EB8" w:rsidRDefault="004D67E5" w:rsidP="00617EB8">
      <w:pPr>
        <w:rPr>
          <w:u w:val="single"/>
        </w:rPr>
      </w:pPr>
      <w:r w:rsidRPr="00617EB8">
        <w:rPr>
          <w:u w:val="single"/>
        </w:rPr>
        <w:t xml:space="preserve">Priority 1: Institutional preparedness  </w:t>
      </w:r>
    </w:p>
    <w:p w14:paraId="5F741DCD" w14:textId="61AA1E8E" w:rsidR="004D67E5" w:rsidRPr="000D3159" w:rsidRDefault="005A0434" w:rsidP="000D3159">
      <w:pPr>
        <w:pStyle w:val="ListParagraph"/>
        <w:widowControl/>
        <w:numPr>
          <w:ilvl w:val="0"/>
          <w:numId w:val="6"/>
        </w:numPr>
        <w:autoSpaceDE/>
        <w:autoSpaceDN/>
      </w:pPr>
      <w:r w:rsidRPr="000D3159">
        <w:t xml:space="preserve">advancing preparedness, both within and between </w:t>
      </w:r>
      <w:proofErr w:type="spellStart"/>
      <w:r w:rsidRPr="000D3159">
        <w:t>organisations</w:t>
      </w:r>
      <w:proofErr w:type="spellEnd"/>
      <w:r w:rsidRPr="000D3159">
        <w:t xml:space="preserve">, </w:t>
      </w:r>
      <w:proofErr w:type="gramStart"/>
      <w:r w:rsidRPr="000D3159">
        <w:t>sectors</w:t>
      </w:r>
      <w:proofErr w:type="gramEnd"/>
      <w:r w:rsidRPr="000D3159">
        <w:t xml:space="preserve"> and borders</w:t>
      </w:r>
    </w:p>
    <w:p w14:paraId="47289CB9" w14:textId="1613D3B4" w:rsidR="006E4337" w:rsidRPr="000D3159" w:rsidRDefault="0033075B" w:rsidP="000D3159">
      <w:pPr>
        <w:pStyle w:val="ListParagraph"/>
        <w:widowControl/>
        <w:numPr>
          <w:ilvl w:val="0"/>
          <w:numId w:val="6"/>
        </w:numPr>
        <w:autoSpaceDE/>
        <w:autoSpaceDN/>
      </w:pPr>
      <w:r w:rsidRPr="000D3159">
        <w:t>encouraging and institutionalizing</w:t>
      </w:r>
      <w:r w:rsidR="006E4337" w:rsidRPr="000D3159">
        <w:t xml:space="preserve"> transfer of knowledge</w:t>
      </w:r>
      <w:r w:rsidR="00BC5B4F" w:rsidRPr="000D3159">
        <w:t xml:space="preserve">, improved </w:t>
      </w:r>
      <w:proofErr w:type="gramStart"/>
      <w:r w:rsidR="00BC5B4F" w:rsidRPr="000D3159">
        <w:t>communication</w:t>
      </w:r>
      <w:proofErr w:type="gramEnd"/>
      <w:r w:rsidR="00BC5B4F" w:rsidRPr="000D3159">
        <w:t xml:space="preserve"> and cooperation, </w:t>
      </w:r>
    </w:p>
    <w:p w14:paraId="33652CA3" w14:textId="7FB1887E" w:rsidR="005A0434" w:rsidRPr="000D3159" w:rsidRDefault="006E4337" w:rsidP="000D3159">
      <w:pPr>
        <w:pStyle w:val="ListParagraph"/>
        <w:widowControl/>
        <w:numPr>
          <w:ilvl w:val="0"/>
          <w:numId w:val="6"/>
        </w:numPr>
        <w:autoSpaceDE/>
        <w:autoSpaceDN/>
      </w:pPr>
      <w:r w:rsidRPr="000D3159">
        <w:t>integrat</w:t>
      </w:r>
      <w:r w:rsidR="00BC5B4F" w:rsidRPr="000D3159">
        <w:t>ing</w:t>
      </w:r>
      <w:r w:rsidRPr="000D3159">
        <w:t xml:space="preserve"> new approaches</w:t>
      </w:r>
      <w:r w:rsidR="00BC5B4F" w:rsidRPr="000D3159">
        <w:t xml:space="preserve"> (in coordination and in cross-country cooperation mechanisms)</w:t>
      </w:r>
    </w:p>
    <w:p w14:paraId="42175516" w14:textId="1B5E6AA4" w:rsidR="00BD6AF3" w:rsidRPr="000D3159" w:rsidRDefault="00521DD3" w:rsidP="000D3159">
      <w:pPr>
        <w:pStyle w:val="ListParagraph"/>
        <w:widowControl/>
        <w:numPr>
          <w:ilvl w:val="0"/>
          <w:numId w:val="6"/>
        </w:numPr>
        <w:autoSpaceDE/>
        <w:autoSpaceDN/>
      </w:pPr>
      <w:r>
        <w:t>meeting</w:t>
      </w:r>
      <w:r w:rsidR="009651B3" w:rsidRPr="000D3159">
        <w:t xml:space="preserve"> demands placed on civil protection and DRM authorities especially </w:t>
      </w:r>
      <w:r w:rsidR="00D810FB" w:rsidRPr="000D3159">
        <w:t>amidst</w:t>
      </w:r>
      <w:r w:rsidR="009651B3" w:rsidRPr="000D3159">
        <w:t xml:space="preserve"> </w:t>
      </w:r>
      <w:r w:rsidR="00D810FB" w:rsidRPr="000D3159">
        <w:t>the in</w:t>
      </w:r>
      <w:r w:rsidR="009651B3" w:rsidRPr="000D3159">
        <w:t>creased complex</w:t>
      </w:r>
      <w:r w:rsidR="00D0000A" w:rsidRPr="000D3159">
        <w:t xml:space="preserve">ity of cris preparedness </w:t>
      </w:r>
      <w:r>
        <w:t>(</w:t>
      </w:r>
      <w:r w:rsidR="00D0000A" w:rsidRPr="000D3159">
        <w:t>due to the changing security context in the Baltics</w:t>
      </w:r>
      <w:r>
        <w:t>)</w:t>
      </w:r>
    </w:p>
    <w:p w14:paraId="7A1EE2DE" w14:textId="696EEC82" w:rsidR="004D67E5" w:rsidRPr="00617EB8" w:rsidRDefault="004D67E5" w:rsidP="00617EB8">
      <w:pPr>
        <w:rPr>
          <w:u w:val="single"/>
        </w:rPr>
      </w:pPr>
      <w:r w:rsidRPr="00617EB8">
        <w:rPr>
          <w:u w:val="single"/>
        </w:rPr>
        <w:t xml:space="preserve">Priority 2: Individual capacity </w:t>
      </w:r>
      <w:proofErr w:type="gramStart"/>
      <w:r w:rsidRPr="00617EB8">
        <w:rPr>
          <w:u w:val="single"/>
        </w:rPr>
        <w:t>strengthening</w:t>
      </w:r>
      <w:proofErr w:type="gramEnd"/>
    </w:p>
    <w:p w14:paraId="236D8131" w14:textId="00EE320C" w:rsidR="00AD15AD" w:rsidRPr="000D3159" w:rsidRDefault="006E4337" w:rsidP="000D3159">
      <w:pPr>
        <w:pStyle w:val="ListParagraph"/>
        <w:widowControl/>
        <w:numPr>
          <w:ilvl w:val="0"/>
          <w:numId w:val="6"/>
        </w:numPr>
        <w:autoSpaceDE/>
        <w:autoSpaceDN/>
      </w:pPr>
      <w:r w:rsidRPr="000D3159">
        <w:t>Bringing together different stakeholders sharing knowledge</w:t>
      </w:r>
    </w:p>
    <w:p w14:paraId="7AAA635E" w14:textId="08E303ED" w:rsidR="00313FC1" w:rsidRPr="000D3159" w:rsidRDefault="00313FC1" w:rsidP="000D3159">
      <w:pPr>
        <w:pStyle w:val="ListParagraph"/>
        <w:widowControl/>
        <w:numPr>
          <w:ilvl w:val="0"/>
          <w:numId w:val="6"/>
        </w:numPr>
        <w:autoSpaceDE/>
        <w:autoSpaceDN/>
      </w:pPr>
      <w:r w:rsidRPr="000D3159">
        <w:t>With knowledge and experience applied nationally and internationally</w:t>
      </w:r>
    </w:p>
    <w:p w14:paraId="2413671A" w14:textId="77777777" w:rsidR="00307F03" w:rsidRDefault="00307F03" w:rsidP="001823BD"/>
    <w:p w14:paraId="55FCD94D" w14:textId="17671B14" w:rsidR="001823BD" w:rsidRPr="004C6542" w:rsidRDefault="001823BD" w:rsidP="001823BD">
      <w:pPr>
        <w:rPr>
          <w:b/>
          <w:bCs/>
        </w:rPr>
      </w:pPr>
      <w:r w:rsidRPr="00DA557B">
        <w:rPr>
          <w:b/>
          <w:bCs/>
          <w:highlight w:val="yellow"/>
        </w:rPr>
        <w:t>Needs basis:</w:t>
      </w:r>
    </w:p>
    <w:p w14:paraId="57ACB103" w14:textId="0BB1DE25" w:rsidR="001823BD" w:rsidRDefault="00307F03" w:rsidP="00307F03">
      <w:pPr>
        <w:pStyle w:val="ListParagraph"/>
        <w:numPr>
          <w:ilvl w:val="0"/>
          <w:numId w:val="5"/>
        </w:numPr>
      </w:pPr>
      <w:r>
        <w:t xml:space="preserve">Changing security and risk environment in the </w:t>
      </w:r>
      <w:r w:rsidR="00521DD3">
        <w:t>B</w:t>
      </w:r>
      <w:r>
        <w:t>altics</w:t>
      </w:r>
      <w:r w:rsidR="00521DD3">
        <w:t xml:space="preserve">, </w:t>
      </w:r>
      <w:r w:rsidR="008B61D2">
        <w:t xml:space="preserve">new and increased risk of </w:t>
      </w:r>
      <w:r w:rsidR="002072D1">
        <w:t xml:space="preserve">border crisis situations including risk of </w:t>
      </w:r>
      <w:r w:rsidR="008B61D2">
        <w:t xml:space="preserve">armed conflict </w:t>
      </w:r>
    </w:p>
    <w:p w14:paraId="1D1234F7" w14:textId="6FDBC0B2" w:rsidR="00307F03" w:rsidRDefault="00307F03" w:rsidP="00307F03">
      <w:pPr>
        <w:pStyle w:val="ListParagraph"/>
        <w:numPr>
          <w:ilvl w:val="0"/>
          <w:numId w:val="5"/>
        </w:numPr>
      </w:pPr>
      <w:r>
        <w:t xml:space="preserve">Need for upscaling preparedness efforts, </w:t>
      </w:r>
      <w:r w:rsidR="00E07C26">
        <w:t xml:space="preserve">in all Baltics states. </w:t>
      </w:r>
      <w:r w:rsidR="004C6542">
        <w:t>While it is a priority for all 3 states,</w:t>
      </w:r>
      <w:r w:rsidR="00E07C26">
        <w:t xml:space="preserve"> </w:t>
      </w:r>
      <w:r w:rsidR="004C6542">
        <w:t xml:space="preserve">it is </w:t>
      </w:r>
      <w:r w:rsidR="00E07C26">
        <w:t xml:space="preserve">a new area for government agencies and </w:t>
      </w:r>
      <w:r w:rsidR="004C6542">
        <w:t xml:space="preserve">the civil sector, with </w:t>
      </w:r>
      <w:r w:rsidR="00C767DC">
        <w:t xml:space="preserve">room for improvement of coordination, building channels and processes of cooperation for an increased collective preparedness </w:t>
      </w:r>
      <w:proofErr w:type="gramStart"/>
      <w:r w:rsidR="00C767DC">
        <w:t>level</w:t>
      </w:r>
      <w:proofErr w:type="gramEnd"/>
    </w:p>
    <w:p w14:paraId="3CC85BE2" w14:textId="182D257C" w:rsidR="00BD6AF3" w:rsidRPr="00980E09" w:rsidRDefault="00233FD0" w:rsidP="00017A33">
      <w:pPr>
        <w:pStyle w:val="ListParagraph"/>
        <w:numPr>
          <w:ilvl w:val="0"/>
          <w:numId w:val="5"/>
        </w:numPr>
      </w:pPr>
      <w:r w:rsidRPr="00980E09">
        <w:t xml:space="preserve">Absence of organized support connections and collaborative planning concerning humanitarian needs and the cross-country repercussions </w:t>
      </w:r>
    </w:p>
    <w:p w14:paraId="72DFBDD1" w14:textId="77777777" w:rsidR="00A201B2" w:rsidRDefault="00A201B2" w:rsidP="00A201B2"/>
    <w:p w14:paraId="2D5A0B31" w14:textId="7B51A0E3" w:rsidR="00A201B2" w:rsidRPr="008C76FB" w:rsidRDefault="00F22B2C" w:rsidP="00A201B2">
      <w:pPr>
        <w:rPr>
          <w:b/>
          <w:bCs/>
          <w:lang w:val="hu-HU"/>
        </w:rPr>
      </w:pPr>
      <w:r w:rsidRPr="008C76FB">
        <w:rPr>
          <w:b/>
          <w:bCs/>
          <w:highlight w:val="yellow"/>
        </w:rPr>
        <w:t>Precedents</w:t>
      </w:r>
      <w:r w:rsidR="00CF1D77" w:rsidRPr="008C76FB">
        <w:rPr>
          <w:b/>
          <w:bCs/>
          <w:highlight w:val="yellow"/>
        </w:rPr>
        <w:t xml:space="preserve"> and complementarity to ongoing efforts</w:t>
      </w:r>
      <w:r w:rsidR="00CF1D77" w:rsidRPr="008C76FB">
        <w:rPr>
          <w:b/>
          <w:bCs/>
          <w:highlight w:val="yellow"/>
          <w:lang w:val="hu-HU"/>
        </w:rPr>
        <w:t>:</w:t>
      </w:r>
    </w:p>
    <w:p w14:paraId="57003C83" w14:textId="77777777" w:rsidR="002A36B3" w:rsidRDefault="002A36B3" w:rsidP="00CF1D77">
      <w:pPr>
        <w:pStyle w:val="ListParagraph"/>
        <w:numPr>
          <w:ilvl w:val="0"/>
          <w:numId w:val="5"/>
        </w:numPr>
        <w:rPr>
          <w:lang w:val="hu-HU"/>
        </w:rPr>
      </w:pPr>
      <w:r w:rsidRPr="002A36B3">
        <w:rPr>
          <w:lang w:val="hu-HU"/>
        </w:rPr>
        <w:t>Each of the three Baltic National Societies is dedicating resources to enhance the readiness of their disaster management, advanced first aid, and psychological first aid volunteer teams. This investment contributes to strengthening their ability to augment national capacities effectively</w:t>
      </w:r>
    </w:p>
    <w:p w14:paraId="6977438E" w14:textId="70C880C0" w:rsidR="00CF1D77" w:rsidRDefault="005D7C15" w:rsidP="00CF1D77">
      <w:pPr>
        <w:pStyle w:val="ListParagraph"/>
        <w:numPr>
          <w:ilvl w:val="0"/>
          <w:numId w:val="5"/>
        </w:numPr>
        <w:rPr>
          <w:lang w:val="hu-HU"/>
        </w:rPr>
      </w:pPr>
      <w:r>
        <w:rPr>
          <w:lang w:val="hu-HU"/>
        </w:rPr>
        <w:t xml:space="preserve">All three National Societies have gained new sectoral operational capabilities, such as in </w:t>
      </w:r>
      <w:r w:rsidR="006549D5">
        <w:rPr>
          <w:lang w:val="hu-HU"/>
        </w:rPr>
        <w:t xml:space="preserve">evacuation management and registration (via BALTPREP and EVRE), </w:t>
      </w:r>
      <w:r w:rsidR="0081614E">
        <w:rPr>
          <w:lang w:val="hu-HU"/>
        </w:rPr>
        <w:t>cash an voucher programming, Mental health and MHPSS</w:t>
      </w:r>
      <w:r w:rsidR="00962A36">
        <w:rPr>
          <w:lang w:val="hu-HU"/>
        </w:rPr>
        <w:t xml:space="preserve">, </w:t>
      </w:r>
      <w:r w:rsidR="007A6EC9">
        <w:rPr>
          <w:lang w:val="hu-HU"/>
        </w:rPr>
        <w:t xml:space="preserve">Information managment, </w:t>
      </w:r>
      <w:r w:rsidR="00D27EB5">
        <w:rPr>
          <w:lang w:val="hu-HU"/>
        </w:rPr>
        <w:t>community engagement</w:t>
      </w:r>
    </w:p>
    <w:p w14:paraId="10B09FD0" w14:textId="25654789" w:rsidR="00BD6AF3" w:rsidRDefault="009F3292" w:rsidP="009F3292">
      <w:pPr>
        <w:pStyle w:val="ListParagraph"/>
        <w:numPr>
          <w:ilvl w:val="0"/>
          <w:numId w:val="5"/>
        </w:numPr>
      </w:pPr>
      <w:r w:rsidRPr="009F3292">
        <w:rPr>
          <w:lang w:val="hu-HU"/>
        </w:rPr>
        <w:t>The Lithuanian Red Cross, as the consortium leader, spearheads initiatives among non-governmental organizations in Lithuania aimed at enhancing emergency preparedness and fostering coordination among stakeholders. This is achieved through conducting over 10 exercises annually and leveraging extensive experience in facilitating exercises that involve all pertinent ministries, other NGOs, and key government agencies.</w:t>
      </w:r>
    </w:p>
    <w:p w14:paraId="1D1157DA" w14:textId="77777777" w:rsidR="00BD6AF3" w:rsidRDefault="00BD6AF3" w:rsidP="00BD6AF3"/>
    <w:p w14:paraId="662E3A4C" w14:textId="77777777" w:rsidR="001823BD" w:rsidRDefault="001823BD" w:rsidP="001823BD"/>
    <w:p w14:paraId="31678ECA" w14:textId="56AB4A7F" w:rsidR="001823BD" w:rsidRPr="004C6542" w:rsidRDefault="001823BD" w:rsidP="001823BD">
      <w:pPr>
        <w:rPr>
          <w:b/>
          <w:bCs/>
        </w:rPr>
      </w:pPr>
      <w:r w:rsidRPr="007D5355">
        <w:rPr>
          <w:b/>
          <w:bCs/>
          <w:highlight w:val="yellow"/>
        </w:rPr>
        <w:lastRenderedPageBreak/>
        <w:t>Proposed activities</w:t>
      </w:r>
      <w:r w:rsidR="00F3122C" w:rsidRPr="007D5355">
        <w:rPr>
          <w:b/>
          <w:bCs/>
          <w:highlight w:val="yellow"/>
        </w:rPr>
        <w:t>:</w:t>
      </w:r>
    </w:p>
    <w:p w14:paraId="68DEE468" w14:textId="77777777" w:rsidR="00F3122C" w:rsidRDefault="00F3122C" w:rsidP="001823BD"/>
    <w:tbl>
      <w:tblPr>
        <w:tblStyle w:val="TableGrid"/>
        <w:tblW w:w="15511" w:type="dxa"/>
        <w:tblInd w:w="-915" w:type="dxa"/>
        <w:tblLook w:val="04A0" w:firstRow="1" w:lastRow="0" w:firstColumn="1" w:lastColumn="0" w:noHBand="0" w:noVBand="1"/>
      </w:tblPr>
      <w:tblGrid>
        <w:gridCol w:w="2044"/>
        <w:gridCol w:w="1985"/>
        <w:gridCol w:w="3969"/>
        <w:gridCol w:w="7513"/>
      </w:tblGrid>
      <w:tr w:rsidR="00CD65E3" w:rsidRPr="00617EB8" w14:paraId="29B69D1E" w14:textId="77777777" w:rsidTr="00064B30">
        <w:trPr>
          <w:trHeight w:val="329"/>
        </w:trPr>
        <w:tc>
          <w:tcPr>
            <w:tcW w:w="2044" w:type="dxa"/>
            <w:shd w:val="clear" w:color="auto" w:fill="D9D9D9" w:themeFill="background1" w:themeFillShade="D9"/>
          </w:tcPr>
          <w:p w14:paraId="27B8A53E" w14:textId="7D255F73" w:rsidR="004C6542" w:rsidRPr="00617EB8" w:rsidRDefault="0033110E" w:rsidP="001823BD">
            <w:pPr>
              <w:rPr>
                <w:b/>
                <w:bCs/>
                <w:sz w:val="20"/>
                <w:szCs w:val="20"/>
                <w:lang w:val="hu-HU"/>
              </w:rPr>
            </w:pPr>
            <w:r>
              <w:rPr>
                <w:b/>
                <w:bCs/>
                <w:sz w:val="20"/>
                <w:szCs w:val="20"/>
                <w:lang w:val="hu-HU"/>
              </w:rPr>
              <w:t>Proposal</w:t>
            </w:r>
            <w:r w:rsidR="005E2796" w:rsidRPr="00617EB8">
              <w:rPr>
                <w:b/>
                <w:bCs/>
                <w:sz w:val="20"/>
                <w:szCs w:val="20"/>
                <w:lang w:val="hu-HU"/>
              </w:rPr>
              <w:t xml:space="preserve"> </w:t>
            </w:r>
            <w:r w:rsidR="00BC189E">
              <w:rPr>
                <w:b/>
                <w:bCs/>
                <w:sz w:val="20"/>
                <w:szCs w:val="20"/>
                <w:lang w:val="hu-HU"/>
              </w:rPr>
              <w:t xml:space="preserve">standard </w:t>
            </w:r>
            <w:r w:rsidR="004C6542" w:rsidRPr="00617EB8">
              <w:rPr>
                <w:b/>
                <w:bCs/>
                <w:sz w:val="20"/>
                <w:szCs w:val="20"/>
                <w:lang w:val="hu-HU"/>
              </w:rPr>
              <w:t>outcome</w:t>
            </w:r>
          </w:p>
        </w:tc>
        <w:tc>
          <w:tcPr>
            <w:tcW w:w="1985" w:type="dxa"/>
            <w:shd w:val="clear" w:color="auto" w:fill="D9D9D9" w:themeFill="background1" w:themeFillShade="D9"/>
          </w:tcPr>
          <w:p w14:paraId="71A80E77" w14:textId="3F7630E8" w:rsidR="004C6542" w:rsidRPr="00617EB8" w:rsidRDefault="004C6542" w:rsidP="001823BD">
            <w:pPr>
              <w:rPr>
                <w:b/>
                <w:bCs/>
                <w:sz w:val="20"/>
                <w:szCs w:val="20"/>
              </w:rPr>
            </w:pPr>
            <w:r w:rsidRPr="00617EB8">
              <w:rPr>
                <w:b/>
                <w:bCs/>
                <w:sz w:val="20"/>
                <w:szCs w:val="20"/>
              </w:rPr>
              <w:t>Work packag</w:t>
            </w:r>
            <w:r w:rsidR="00617EB8" w:rsidRPr="00617EB8">
              <w:rPr>
                <w:b/>
                <w:bCs/>
                <w:sz w:val="20"/>
                <w:szCs w:val="20"/>
              </w:rPr>
              <w:t>es (</w:t>
            </w:r>
            <w:r w:rsidR="0033110E">
              <w:rPr>
                <w:b/>
                <w:bCs/>
                <w:sz w:val="20"/>
                <w:szCs w:val="20"/>
              </w:rPr>
              <w:t>2 years</w:t>
            </w:r>
            <w:r w:rsidR="00617EB8" w:rsidRPr="00617EB8">
              <w:rPr>
                <w:b/>
                <w:bCs/>
                <w:sz w:val="20"/>
                <w:szCs w:val="20"/>
              </w:rPr>
              <w:t>)</w:t>
            </w:r>
          </w:p>
        </w:tc>
        <w:tc>
          <w:tcPr>
            <w:tcW w:w="3969" w:type="dxa"/>
            <w:shd w:val="clear" w:color="auto" w:fill="D9D9D9" w:themeFill="background1" w:themeFillShade="D9"/>
          </w:tcPr>
          <w:p w14:paraId="27663B81" w14:textId="7923AEF0" w:rsidR="004C6542" w:rsidRPr="00617EB8" w:rsidRDefault="00DC21EB" w:rsidP="001823BD">
            <w:pPr>
              <w:rPr>
                <w:b/>
                <w:bCs/>
                <w:sz w:val="20"/>
                <w:szCs w:val="20"/>
              </w:rPr>
            </w:pPr>
            <w:r w:rsidRPr="00617EB8">
              <w:rPr>
                <w:b/>
                <w:bCs/>
                <w:sz w:val="20"/>
                <w:szCs w:val="20"/>
              </w:rPr>
              <w:t>Tasks</w:t>
            </w:r>
          </w:p>
        </w:tc>
        <w:tc>
          <w:tcPr>
            <w:tcW w:w="7513" w:type="dxa"/>
            <w:shd w:val="clear" w:color="auto" w:fill="D9D9D9" w:themeFill="background1" w:themeFillShade="D9"/>
          </w:tcPr>
          <w:p w14:paraId="18059876" w14:textId="7FFBF5EA" w:rsidR="004C6542" w:rsidRPr="00617EB8" w:rsidRDefault="00DC21EB" w:rsidP="001823BD">
            <w:pPr>
              <w:rPr>
                <w:b/>
                <w:bCs/>
                <w:sz w:val="20"/>
                <w:szCs w:val="20"/>
              </w:rPr>
            </w:pPr>
            <w:r w:rsidRPr="00617EB8">
              <w:rPr>
                <w:b/>
                <w:bCs/>
                <w:sz w:val="20"/>
                <w:szCs w:val="20"/>
              </w:rPr>
              <w:t>Activities</w:t>
            </w:r>
            <w:r w:rsidR="00A02321" w:rsidRPr="00617EB8">
              <w:rPr>
                <w:b/>
                <w:bCs/>
                <w:sz w:val="20"/>
                <w:szCs w:val="20"/>
              </w:rPr>
              <w:t xml:space="preserve"> (details)</w:t>
            </w:r>
          </w:p>
        </w:tc>
      </w:tr>
      <w:tr w:rsidR="004A4BBA" w:rsidRPr="00617EB8" w14:paraId="59CD978D" w14:textId="77777777" w:rsidTr="00064B30">
        <w:trPr>
          <w:trHeight w:val="329"/>
        </w:trPr>
        <w:tc>
          <w:tcPr>
            <w:tcW w:w="2044" w:type="dxa"/>
            <w:vMerge w:val="restart"/>
            <w:shd w:val="clear" w:color="auto" w:fill="auto"/>
          </w:tcPr>
          <w:p w14:paraId="56E603BE" w14:textId="77777777" w:rsidR="004A4BBA" w:rsidRDefault="004A4BBA" w:rsidP="002101ED">
            <w:r w:rsidRPr="00CD65E3">
              <w:rPr>
                <w:b/>
                <w:bCs/>
              </w:rPr>
              <w:t>Outcome</w:t>
            </w:r>
            <w:r>
              <w:t xml:space="preserve">: </w:t>
            </w:r>
          </w:p>
          <w:p w14:paraId="0E7501CA" w14:textId="6F53A66D" w:rsidR="004A4BBA" w:rsidRDefault="004A4BBA" w:rsidP="001823BD">
            <w:pPr>
              <w:rPr>
                <w:b/>
                <w:bCs/>
                <w:sz w:val="20"/>
                <w:szCs w:val="20"/>
                <w:lang w:val="hu-HU"/>
              </w:rPr>
            </w:pPr>
            <w:r>
              <w:t xml:space="preserve">Strengthened relationships between </w:t>
            </w:r>
            <w:r w:rsidR="007877B7">
              <w:t xml:space="preserve">DRM </w:t>
            </w:r>
            <w:r>
              <w:t>stakeholders</w:t>
            </w:r>
            <w:r w:rsidR="00311C73">
              <w:t xml:space="preserve"> and </w:t>
            </w:r>
            <w:proofErr w:type="spellStart"/>
            <w:r w:rsidR="00311C73">
              <w:t>strenghtened</w:t>
            </w:r>
            <w:proofErr w:type="spellEnd"/>
            <w:r w:rsidR="00311C73">
              <w:t xml:space="preserve"> preparedness</w:t>
            </w:r>
            <w:r w:rsidR="00491875">
              <w:t xml:space="preserve"> through </w:t>
            </w:r>
            <w:r w:rsidR="00311C73">
              <w:t>coordination exercises at national and international level</w:t>
            </w:r>
            <w:r>
              <w:t>.</w:t>
            </w:r>
          </w:p>
        </w:tc>
        <w:tc>
          <w:tcPr>
            <w:tcW w:w="1985" w:type="dxa"/>
            <w:vMerge w:val="restart"/>
            <w:shd w:val="clear" w:color="auto" w:fill="auto"/>
          </w:tcPr>
          <w:p w14:paraId="39D26D03" w14:textId="50EEDDBE" w:rsidR="004A4BBA" w:rsidRPr="00617EB8" w:rsidRDefault="004A4BBA" w:rsidP="001823BD">
            <w:pPr>
              <w:rPr>
                <w:b/>
                <w:bCs/>
                <w:sz w:val="20"/>
                <w:szCs w:val="20"/>
              </w:rPr>
            </w:pPr>
            <w:r>
              <w:t xml:space="preserve">WP1. </w:t>
            </w:r>
            <w:r w:rsidR="002172EC">
              <w:t>STRENGTHENING MULTI-STAKEHOLDER COORDINATION</w:t>
            </w:r>
            <w:r w:rsidR="007918C9">
              <w:t xml:space="preserve">: </w:t>
            </w:r>
            <w:r>
              <w:t xml:space="preserve">simulation and </w:t>
            </w:r>
            <w:r w:rsidR="007918C9">
              <w:t>coordination</w:t>
            </w:r>
            <w:r>
              <w:t xml:space="preserve"> exercises facilitated by the Red Cross on national and Baltic</w:t>
            </w:r>
            <w:r w:rsidR="007918C9">
              <w:t xml:space="preserve"> level</w:t>
            </w:r>
          </w:p>
        </w:tc>
        <w:tc>
          <w:tcPr>
            <w:tcW w:w="3969" w:type="dxa"/>
            <w:shd w:val="clear" w:color="auto" w:fill="auto"/>
          </w:tcPr>
          <w:p w14:paraId="58ACE2A1" w14:textId="5541EB81" w:rsidR="004A4BBA" w:rsidRPr="00A33378" w:rsidRDefault="004A4BBA" w:rsidP="001823BD">
            <w:r w:rsidRPr="00A33378">
              <w:t>T1</w:t>
            </w:r>
            <w:r w:rsidR="00B931A2">
              <w:t>.</w:t>
            </w:r>
            <w:r w:rsidRPr="00A33378">
              <w:t xml:space="preserve"> Desktop review of available capacities among key stakeholders</w:t>
            </w:r>
            <w:r w:rsidR="003A47E0" w:rsidRPr="00A33378">
              <w:t xml:space="preserve"> per country</w:t>
            </w:r>
          </w:p>
        </w:tc>
        <w:tc>
          <w:tcPr>
            <w:tcW w:w="7513" w:type="dxa"/>
            <w:shd w:val="clear" w:color="auto" w:fill="auto"/>
          </w:tcPr>
          <w:p w14:paraId="7EF929F8" w14:textId="77777777" w:rsidR="004A4BBA" w:rsidRDefault="004A4BBA" w:rsidP="00A71F20">
            <w:pPr>
              <w:pStyle w:val="ListParagraph"/>
              <w:numPr>
                <w:ilvl w:val="0"/>
                <w:numId w:val="14"/>
              </w:numPr>
              <w:ind w:left="205" w:hanging="175"/>
              <w:rPr>
                <w:sz w:val="20"/>
                <w:szCs w:val="20"/>
              </w:rPr>
            </w:pPr>
            <w:r w:rsidRPr="00A57608">
              <w:rPr>
                <w:sz w:val="20"/>
                <w:szCs w:val="20"/>
              </w:rPr>
              <w:t>Creation of report template</w:t>
            </w:r>
            <w:r w:rsidR="003A47E0" w:rsidRPr="00A57608">
              <w:rPr>
                <w:sz w:val="20"/>
                <w:szCs w:val="20"/>
              </w:rPr>
              <w:t xml:space="preserve"> aligned with </w:t>
            </w:r>
            <w:r w:rsidR="00A33378" w:rsidRPr="00A57608">
              <w:rPr>
                <w:sz w:val="20"/>
                <w:szCs w:val="20"/>
              </w:rPr>
              <w:t xml:space="preserve">the </w:t>
            </w:r>
            <w:r w:rsidR="00325044" w:rsidRPr="00A57608">
              <w:rPr>
                <w:sz w:val="20"/>
                <w:szCs w:val="20"/>
              </w:rPr>
              <w:t>project objectives</w:t>
            </w:r>
            <w:r w:rsidR="00A57608" w:rsidRPr="00A57608">
              <w:rPr>
                <w:sz w:val="20"/>
                <w:szCs w:val="20"/>
              </w:rPr>
              <w:t xml:space="preserve"> to identify capacities and gaps in country and crossborder emergency </w:t>
            </w:r>
            <w:proofErr w:type="gramStart"/>
            <w:r w:rsidR="00A57608" w:rsidRPr="00A57608">
              <w:rPr>
                <w:sz w:val="20"/>
                <w:szCs w:val="20"/>
              </w:rPr>
              <w:t>response</w:t>
            </w:r>
            <w:proofErr w:type="gramEnd"/>
            <w:r w:rsidR="00A57608">
              <w:rPr>
                <w:sz w:val="20"/>
                <w:szCs w:val="20"/>
              </w:rPr>
              <w:t xml:space="preserve"> </w:t>
            </w:r>
          </w:p>
          <w:p w14:paraId="7B7F32D2" w14:textId="1F35464F" w:rsidR="006C2B8C" w:rsidRPr="00A57608" w:rsidRDefault="00B931A2" w:rsidP="00A57608">
            <w:pPr>
              <w:pStyle w:val="ListParagraph"/>
              <w:numPr>
                <w:ilvl w:val="0"/>
                <w:numId w:val="14"/>
              </w:numPr>
              <w:ind w:left="205" w:hanging="182"/>
              <w:rPr>
                <w:sz w:val="20"/>
                <w:szCs w:val="20"/>
              </w:rPr>
            </w:pPr>
            <w:r>
              <w:rPr>
                <w:sz w:val="20"/>
                <w:szCs w:val="20"/>
              </w:rPr>
              <w:t xml:space="preserve">Production of an up-do-date risk matrix with </w:t>
            </w:r>
            <w:r w:rsidR="003A33F8">
              <w:rPr>
                <w:sz w:val="20"/>
                <w:szCs w:val="20"/>
              </w:rPr>
              <w:t>emphasis on cross-border emergencies</w:t>
            </w:r>
          </w:p>
        </w:tc>
      </w:tr>
      <w:tr w:rsidR="004A4BBA" w14:paraId="3CCFFCC8" w14:textId="77777777" w:rsidTr="00064B30">
        <w:trPr>
          <w:trHeight w:val="311"/>
        </w:trPr>
        <w:tc>
          <w:tcPr>
            <w:tcW w:w="2044" w:type="dxa"/>
            <w:vMerge/>
          </w:tcPr>
          <w:p w14:paraId="5DB64EDB" w14:textId="01A59C5F" w:rsidR="004A4BBA" w:rsidRDefault="004A4BBA" w:rsidP="001823BD"/>
        </w:tc>
        <w:tc>
          <w:tcPr>
            <w:tcW w:w="1985" w:type="dxa"/>
            <w:vMerge/>
          </w:tcPr>
          <w:p w14:paraId="35FC01EC" w14:textId="3B2E32A8" w:rsidR="004A4BBA" w:rsidRDefault="004A4BBA" w:rsidP="001823BD"/>
        </w:tc>
        <w:tc>
          <w:tcPr>
            <w:tcW w:w="3969" w:type="dxa"/>
          </w:tcPr>
          <w:p w14:paraId="77222ABC" w14:textId="656DF266" w:rsidR="004A4BBA" w:rsidRDefault="004A4BBA" w:rsidP="001823BD">
            <w:r>
              <w:t xml:space="preserve">T2. </w:t>
            </w:r>
            <w:r w:rsidR="00B847A9">
              <w:t>C</w:t>
            </w:r>
            <w:r>
              <w:t>ountry level multiagency simulation / coordination exercise on jointly established border crisis scenario</w:t>
            </w:r>
            <w:r w:rsidR="006C2B8C">
              <w:t xml:space="preserve"> (including armed conflict)</w:t>
            </w:r>
            <w:r>
              <w:t>. Risk and capacity mapping, scenario planning, gap analysis and coordination exercises</w:t>
            </w:r>
            <w:r w:rsidR="00B847A9">
              <w:t xml:space="preserve"> (first year)</w:t>
            </w:r>
          </w:p>
          <w:p w14:paraId="4B592403" w14:textId="0DCA286A" w:rsidR="004A4BBA" w:rsidRDefault="004A4BBA" w:rsidP="001823BD"/>
        </w:tc>
        <w:tc>
          <w:tcPr>
            <w:tcW w:w="7513" w:type="dxa"/>
          </w:tcPr>
          <w:p w14:paraId="3406BBEC" w14:textId="24DBF7A3" w:rsidR="004A4BBA" w:rsidRPr="00050871" w:rsidRDefault="004A4BBA" w:rsidP="0018147C">
            <w:pPr>
              <w:pStyle w:val="ListParagraph"/>
              <w:numPr>
                <w:ilvl w:val="0"/>
                <w:numId w:val="11"/>
              </w:numPr>
              <w:ind w:left="179" w:hanging="181"/>
              <w:rPr>
                <w:sz w:val="20"/>
                <w:szCs w:val="20"/>
              </w:rPr>
            </w:pPr>
            <w:r w:rsidRPr="00050871">
              <w:rPr>
                <w:sz w:val="20"/>
                <w:szCs w:val="20"/>
              </w:rPr>
              <w:t xml:space="preserve">Establishing /sharing methodology through consultations and training, preparatory meetings with CP and other relevant civil protection/total defense stakeholders to establish scenarios. </w:t>
            </w:r>
            <w:r>
              <w:rPr>
                <w:sz w:val="20"/>
                <w:szCs w:val="20"/>
              </w:rPr>
              <w:t>(</w:t>
            </w:r>
            <w:r w:rsidRPr="00050871">
              <w:rPr>
                <w:sz w:val="20"/>
                <w:szCs w:val="20"/>
              </w:rPr>
              <w:t>Minimum participation</w:t>
            </w:r>
            <w:r>
              <w:rPr>
                <w:sz w:val="20"/>
                <w:szCs w:val="20"/>
              </w:rPr>
              <w:t xml:space="preserve"> planned</w:t>
            </w:r>
            <w:r w:rsidRPr="00050871">
              <w:rPr>
                <w:sz w:val="20"/>
                <w:szCs w:val="20"/>
              </w:rPr>
              <w:t>: Red Cross, 1 civil protection agency, 1 additional NGO or government stakeholder</w:t>
            </w:r>
            <w:r>
              <w:rPr>
                <w:sz w:val="20"/>
                <w:szCs w:val="20"/>
              </w:rPr>
              <w:t>)</w:t>
            </w:r>
            <w:r w:rsidRPr="00050871">
              <w:rPr>
                <w:sz w:val="20"/>
                <w:szCs w:val="20"/>
              </w:rPr>
              <w:t>.</w:t>
            </w:r>
          </w:p>
          <w:p w14:paraId="7193E5F9" w14:textId="13DA37BE" w:rsidR="004A4BBA" w:rsidRDefault="004A4BBA" w:rsidP="0018147C">
            <w:pPr>
              <w:pStyle w:val="ListParagraph"/>
              <w:numPr>
                <w:ilvl w:val="0"/>
                <w:numId w:val="11"/>
              </w:numPr>
              <w:ind w:left="179" w:hanging="181"/>
              <w:rPr>
                <w:sz w:val="20"/>
                <w:szCs w:val="20"/>
              </w:rPr>
            </w:pPr>
            <w:r w:rsidRPr="00050871">
              <w:rPr>
                <w:sz w:val="20"/>
                <w:szCs w:val="20"/>
              </w:rPr>
              <w:t>Implementation of 1 day exercise in all 3 countries, facilitated by RC or jointly by Red Cross and relevant partner civil protection/total defense stakeholder</w:t>
            </w:r>
            <w:r>
              <w:rPr>
                <w:sz w:val="20"/>
                <w:szCs w:val="20"/>
              </w:rPr>
              <w:t xml:space="preserve"> (government or NGO)</w:t>
            </w:r>
          </w:p>
          <w:p w14:paraId="35C7608E" w14:textId="56F3F6EF" w:rsidR="004A4BBA" w:rsidRPr="00050871" w:rsidRDefault="004A4BBA" w:rsidP="0018147C">
            <w:pPr>
              <w:pStyle w:val="ListParagraph"/>
              <w:numPr>
                <w:ilvl w:val="0"/>
                <w:numId w:val="11"/>
              </w:numPr>
              <w:ind w:left="179" w:hanging="181"/>
              <w:rPr>
                <w:sz w:val="20"/>
                <w:szCs w:val="20"/>
              </w:rPr>
            </w:pPr>
            <w:r w:rsidRPr="00050871">
              <w:rPr>
                <w:sz w:val="20"/>
                <w:szCs w:val="20"/>
              </w:rPr>
              <w:t>per country follow-up with CP and other agencies on results of exercise: a) updating coordination agreements/</w:t>
            </w:r>
            <w:proofErr w:type="spellStart"/>
            <w:r w:rsidRPr="00050871">
              <w:rPr>
                <w:sz w:val="20"/>
                <w:szCs w:val="20"/>
              </w:rPr>
              <w:t>MoUs</w:t>
            </w:r>
            <w:proofErr w:type="spellEnd"/>
            <w:r w:rsidRPr="00050871">
              <w:rPr>
                <w:sz w:val="20"/>
                <w:szCs w:val="20"/>
              </w:rPr>
              <w:t xml:space="preserve">, b) contingency planning, c) scheduling joint trainings to fill identified capacity gaps </w:t>
            </w:r>
            <w:r w:rsidR="005C113D">
              <w:rPr>
                <w:sz w:val="20"/>
                <w:szCs w:val="20"/>
              </w:rPr>
              <w:t>d) compiling report and lessons learnt</w:t>
            </w:r>
          </w:p>
        </w:tc>
      </w:tr>
      <w:tr w:rsidR="004A4BBA" w14:paraId="5BC8C9A2" w14:textId="77777777" w:rsidTr="00064B30">
        <w:trPr>
          <w:trHeight w:val="311"/>
        </w:trPr>
        <w:tc>
          <w:tcPr>
            <w:tcW w:w="2044" w:type="dxa"/>
            <w:vMerge/>
          </w:tcPr>
          <w:p w14:paraId="41E0EA2B" w14:textId="77777777" w:rsidR="004A4BBA" w:rsidRDefault="004A4BBA" w:rsidP="001823BD"/>
        </w:tc>
        <w:tc>
          <w:tcPr>
            <w:tcW w:w="1985" w:type="dxa"/>
            <w:vMerge/>
          </w:tcPr>
          <w:p w14:paraId="6C844B82" w14:textId="77777777" w:rsidR="004A4BBA" w:rsidRDefault="004A4BBA" w:rsidP="001823BD"/>
        </w:tc>
        <w:tc>
          <w:tcPr>
            <w:tcW w:w="3969" w:type="dxa"/>
          </w:tcPr>
          <w:p w14:paraId="2A51BCE7" w14:textId="0686D1C7" w:rsidR="004A4BBA" w:rsidRDefault="004A4BBA" w:rsidP="00770FBC">
            <w:r>
              <w:t>T</w:t>
            </w:r>
            <w:r w:rsidR="00AE6FF7">
              <w:t>3</w:t>
            </w:r>
            <w:r>
              <w:t>. Multi-country (Baltic-wide), multiagency tabletop coordination exercise on cross-border humanitarian implications of an armed conflict scenario</w:t>
            </w:r>
          </w:p>
        </w:tc>
        <w:tc>
          <w:tcPr>
            <w:tcW w:w="7513" w:type="dxa"/>
          </w:tcPr>
          <w:p w14:paraId="48D1B816" w14:textId="3FD614DF" w:rsidR="004A4BBA" w:rsidRPr="005D132C" w:rsidRDefault="004A4BBA" w:rsidP="0018147C">
            <w:pPr>
              <w:pStyle w:val="ListParagraph"/>
              <w:numPr>
                <w:ilvl w:val="0"/>
                <w:numId w:val="12"/>
              </w:numPr>
              <w:ind w:left="179" w:hanging="179"/>
              <w:rPr>
                <w:sz w:val="20"/>
                <w:szCs w:val="20"/>
                <w:lang w:val="hu-HU"/>
              </w:rPr>
            </w:pPr>
            <w:r w:rsidRPr="005D132C">
              <w:rPr>
                <w:sz w:val="20"/>
                <w:szCs w:val="20"/>
              </w:rPr>
              <w:t>Preparation of multicounty scenario</w:t>
            </w:r>
            <w:r w:rsidRPr="005D132C">
              <w:rPr>
                <w:sz w:val="20"/>
                <w:szCs w:val="20"/>
                <w:lang w:val="hu-HU"/>
              </w:rPr>
              <w:t xml:space="preserve"> and methodology of joint exercise, with focus on</w:t>
            </w:r>
            <w:r>
              <w:rPr>
                <w:sz w:val="20"/>
                <w:szCs w:val="20"/>
                <w:lang w:val="hu-HU"/>
              </w:rPr>
              <w:t>:</w:t>
            </w:r>
            <w:r w:rsidRPr="005D132C">
              <w:rPr>
                <w:sz w:val="20"/>
                <w:szCs w:val="20"/>
                <w:lang w:val="hu-HU"/>
              </w:rPr>
              <w:t xml:space="preserve"> </w:t>
            </w:r>
          </w:p>
          <w:p w14:paraId="2FD53677" w14:textId="583F81BF" w:rsidR="004A4BBA" w:rsidRPr="005D132C" w:rsidRDefault="00AE6FF7" w:rsidP="0018147C">
            <w:pPr>
              <w:pStyle w:val="ListParagraph"/>
              <w:numPr>
                <w:ilvl w:val="1"/>
                <w:numId w:val="12"/>
              </w:numPr>
              <w:ind w:left="349" w:hanging="179"/>
              <w:rPr>
                <w:sz w:val="20"/>
                <w:szCs w:val="20"/>
                <w:lang w:val="hu-HU"/>
              </w:rPr>
            </w:pPr>
            <w:r>
              <w:rPr>
                <w:sz w:val="20"/>
                <w:szCs w:val="20"/>
                <w:lang w:val="hu-HU"/>
              </w:rPr>
              <w:t xml:space="preserve">Results of risk mapping from T1, with </w:t>
            </w:r>
            <w:r w:rsidR="00CF0895">
              <w:rPr>
                <w:sz w:val="20"/>
                <w:szCs w:val="20"/>
                <w:lang w:val="hu-HU"/>
              </w:rPr>
              <w:t>specific</w:t>
            </w:r>
            <w:r>
              <w:rPr>
                <w:sz w:val="20"/>
                <w:szCs w:val="20"/>
                <w:lang w:val="hu-HU"/>
              </w:rPr>
              <w:t xml:space="preserve"> </w:t>
            </w:r>
            <w:r w:rsidR="00CF0895">
              <w:rPr>
                <w:sz w:val="20"/>
                <w:szCs w:val="20"/>
                <w:lang w:val="hu-HU"/>
              </w:rPr>
              <w:t xml:space="preserve">focus on </w:t>
            </w:r>
            <w:r w:rsidR="004A4BBA" w:rsidRPr="005D132C">
              <w:rPr>
                <w:sz w:val="20"/>
                <w:szCs w:val="20"/>
                <w:lang w:val="hu-HU"/>
              </w:rPr>
              <w:t xml:space="preserve">humanitarian implications of cross-country population movement on country civil protection/total defense frameworks, coordination </w:t>
            </w:r>
            <w:r w:rsidR="004A4BBA">
              <w:rPr>
                <w:sz w:val="20"/>
                <w:szCs w:val="20"/>
                <w:lang w:val="hu-HU"/>
              </w:rPr>
              <w:t>structures</w:t>
            </w:r>
            <w:r w:rsidR="004A4BBA" w:rsidRPr="005D132C">
              <w:rPr>
                <w:sz w:val="20"/>
                <w:szCs w:val="20"/>
                <w:lang w:val="hu-HU"/>
              </w:rPr>
              <w:t xml:space="preserve"> and scenarios</w:t>
            </w:r>
          </w:p>
          <w:p w14:paraId="76D060A0" w14:textId="6036D61D" w:rsidR="004A4BBA" w:rsidRPr="005D132C" w:rsidRDefault="004A4BBA" w:rsidP="0018147C">
            <w:pPr>
              <w:pStyle w:val="ListParagraph"/>
              <w:numPr>
                <w:ilvl w:val="1"/>
                <w:numId w:val="12"/>
              </w:numPr>
              <w:ind w:left="349" w:hanging="179"/>
              <w:rPr>
                <w:sz w:val="20"/>
                <w:szCs w:val="20"/>
                <w:lang w:val="hu-HU"/>
              </w:rPr>
            </w:pPr>
            <w:r w:rsidRPr="005D132C">
              <w:rPr>
                <w:sz w:val="20"/>
                <w:szCs w:val="20"/>
                <w:lang w:val="hu-HU"/>
              </w:rPr>
              <w:t>implications for cross-country modalities of mutual help between stakeholders</w:t>
            </w:r>
          </w:p>
          <w:p w14:paraId="43AC8066" w14:textId="0297C006" w:rsidR="004A4BBA" w:rsidRPr="005D132C" w:rsidRDefault="004A4BBA" w:rsidP="0018147C">
            <w:pPr>
              <w:pStyle w:val="ListParagraph"/>
              <w:numPr>
                <w:ilvl w:val="1"/>
                <w:numId w:val="12"/>
              </w:numPr>
              <w:ind w:left="349" w:hanging="179"/>
              <w:rPr>
                <w:sz w:val="20"/>
                <w:szCs w:val="20"/>
                <w:lang w:val="hu-HU"/>
              </w:rPr>
            </w:pPr>
            <w:r w:rsidRPr="005D132C">
              <w:rPr>
                <w:sz w:val="20"/>
                <w:szCs w:val="20"/>
                <w:lang w:val="hu-HU"/>
              </w:rPr>
              <w:t>revealing gaps in preparedness plans and capacities, and expanding horizons of per country scenarios, contingency plans and cooperation opportunities</w:t>
            </w:r>
          </w:p>
          <w:p w14:paraId="1D3AC42E" w14:textId="4FC67211" w:rsidR="004A4BBA" w:rsidRPr="005D132C" w:rsidRDefault="004A4BBA" w:rsidP="0018147C">
            <w:pPr>
              <w:pStyle w:val="ListParagraph"/>
              <w:numPr>
                <w:ilvl w:val="0"/>
                <w:numId w:val="12"/>
              </w:numPr>
              <w:ind w:left="179" w:hanging="179"/>
              <w:rPr>
                <w:sz w:val="20"/>
                <w:szCs w:val="20"/>
                <w:lang w:val="hu-HU"/>
              </w:rPr>
            </w:pPr>
            <w:r w:rsidRPr="005D132C">
              <w:rPr>
                <w:sz w:val="20"/>
                <w:szCs w:val="20"/>
                <w:lang w:val="hu-HU"/>
              </w:rPr>
              <w:t>Two-day tabletop simulation and knowledge sharing exercise along an armed conlfict scenario. In addition to tabletop, limited field-based exercise is considered.</w:t>
            </w:r>
          </w:p>
          <w:p w14:paraId="1CC8BB5E" w14:textId="2E45946A" w:rsidR="004A4BBA" w:rsidRPr="005D132C" w:rsidRDefault="004A4BBA" w:rsidP="0018147C">
            <w:pPr>
              <w:pStyle w:val="ListParagraph"/>
              <w:numPr>
                <w:ilvl w:val="0"/>
                <w:numId w:val="12"/>
              </w:numPr>
              <w:ind w:left="179" w:hanging="179"/>
              <w:rPr>
                <w:sz w:val="20"/>
                <w:szCs w:val="20"/>
                <w:lang w:val="hu-HU"/>
              </w:rPr>
            </w:pPr>
            <w:r w:rsidRPr="005D132C">
              <w:rPr>
                <w:sz w:val="20"/>
                <w:szCs w:val="20"/>
                <w:lang w:val="hu-HU"/>
              </w:rPr>
              <w:t>Conclusions and recommended follow-up</w:t>
            </w:r>
          </w:p>
        </w:tc>
      </w:tr>
      <w:tr w:rsidR="004A4BBA" w14:paraId="191D625D" w14:textId="77777777" w:rsidTr="00064B30">
        <w:trPr>
          <w:trHeight w:val="311"/>
        </w:trPr>
        <w:tc>
          <w:tcPr>
            <w:tcW w:w="2044" w:type="dxa"/>
            <w:vMerge/>
          </w:tcPr>
          <w:p w14:paraId="0C2BD10B" w14:textId="77777777" w:rsidR="004A4BBA" w:rsidRDefault="004A4BBA" w:rsidP="001823BD"/>
        </w:tc>
        <w:tc>
          <w:tcPr>
            <w:tcW w:w="1985" w:type="dxa"/>
            <w:vMerge/>
          </w:tcPr>
          <w:p w14:paraId="07FF4BCC" w14:textId="77777777" w:rsidR="004A4BBA" w:rsidRDefault="004A4BBA" w:rsidP="001823BD"/>
        </w:tc>
        <w:tc>
          <w:tcPr>
            <w:tcW w:w="3969" w:type="dxa"/>
          </w:tcPr>
          <w:p w14:paraId="680B7872" w14:textId="20A62A18" w:rsidR="004A4BBA" w:rsidRDefault="004A4BBA" w:rsidP="00770FBC">
            <w:r>
              <w:t>T</w:t>
            </w:r>
            <w:r w:rsidR="00AE6FF7">
              <w:t>4</w:t>
            </w:r>
            <w:r>
              <w:t xml:space="preserve">. </w:t>
            </w:r>
            <w:r w:rsidR="00C125C5">
              <w:t xml:space="preserve">Country level multiagency simulation / coordination exercise on jointly established border crisis scenario (including armed conflict). </w:t>
            </w:r>
            <w:r w:rsidR="00B847A9">
              <w:t>(second year)</w:t>
            </w:r>
          </w:p>
        </w:tc>
        <w:tc>
          <w:tcPr>
            <w:tcW w:w="7513" w:type="dxa"/>
          </w:tcPr>
          <w:p w14:paraId="1B18951E" w14:textId="4016C6CC" w:rsidR="004A4BBA" w:rsidRPr="006950E1" w:rsidRDefault="006950E1" w:rsidP="006950E1">
            <w:pPr>
              <w:pStyle w:val="ListParagraph"/>
              <w:numPr>
                <w:ilvl w:val="0"/>
                <w:numId w:val="16"/>
              </w:numPr>
              <w:rPr>
                <w:sz w:val="20"/>
                <w:szCs w:val="20"/>
              </w:rPr>
            </w:pPr>
            <w:r>
              <w:rPr>
                <w:sz w:val="20"/>
                <w:szCs w:val="20"/>
              </w:rPr>
              <w:t>Following adjustments based on year 1 exercise</w:t>
            </w:r>
          </w:p>
        </w:tc>
      </w:tr>
      <w:tr w:rsidR="004A4BBA" w14:paraId="64BAE444" w14:textId="77777777" w:rsidTr="00064B30">
        <w:trPr>
          <w:trHeight w:val="311"/>
        </w:trPr>
        <w:tc>
          <w:tcPr>
            <w:tcW w:w="2044" w:type="dxa"/>
            <w:vMerge/>
          </w:tcPr>
          <w:p w14:paraId="2E5EFA76" w14:textId="77777777" w:rsidR="004A4BBA" w:rsidRDefault="004A4BBA" w:rsidP="001823BD"/>
        </w:tc>
        <w:tc>
          <w:tcPr>
            <w:tcW w:w="1985" w:type="dxa"/>
            <w:vMerge/>
          </w:tcPr>
          <w:p w14:paraId="0CBB58E9" w14:textId="77777777" w:rsidR="004A4BBA" w:rsidRDefault="004A4BBA" w:rsidP="001823BD"/>
        </w:tc>
        <w:tc>
          <w:tcPr>
            <w:tcW w:w="3969" w:type="dxa"/>
          </w:tcPr>
          <w:p w14:paraId="0A4EA688" w14:textId="06BD4719" w:rsidR="004A4BBA" w:rsidRDefault="004A4BBA" w:rsidP="00770FBC">
            <w:r>
              <w:t>T</w:t>
            </w:r>
            <w:r w:rsidR="00AE6FF7">
              <w:t>5</w:t>
            </w:r>
            <w:r>
              <w:t xml:space="preserve">. Updating coordination agreements and </w:t>
            </w:r>
            <w:proofErr w:type="spellStart"/>
            <w:r>
              <w:t>MoUs</w:t>
            </w:r>
            <w:proofErr w:type="spellEnd"/>
            <w:r w:rsidR="00B847A9">
              <w:t xml:space="preserve">/ framework agreements </w:t>
            </w:r>
            <w:r>
              <w:t xml:space="preserve">between Red Cross and relevant civil protection, government or </w:t>
            </w:r>
            <w:proofErr w:type="gramStart"/>
            <w:r>
              <w:t>other</w:t>
            </w:r>
            <w:proofErr w:type="gramEnd"/>
            <w:r>
              <w:t xml:space="preserve"> stakeholder</w:t>
            </w:r>
          </w:p>
        </w:tc>
        <w:tc>
          <w:tcPr>
            <w:tcW w:w="7513" w:type="dxa"/>
          </w:tcPr>
          <w:p w14:paraId="0657789D" w14:textId="06689C65" w:rsidR="004A4BBA" w:rsidRPr="006840FA" w:rsidRDefault="002D7E78" w:rsidP="006840FA">
            <w:pPr>
              <w:pStyle w:val="ListParagraph"/>
              <w:numPr>
                <w:ilvl w:val="0"/>
                <w:numId w:val="15"/>
              </w:numPr>
              <w:rPr>
                <w:sz w:val="20"/>
                <w:szCs w:val="20"/>
              </w:rPr>
            </w:pPr>
            <w:r>
              <w:rPr>
                <w:sz w:val="20"/>
                <w:szCs w:val="20"/>
              </w:rPr>
              <w:t>Examples:</w:t>
            </w:r>
            <w:r w:rsidR="00C512E3">
              <w:rPr>
                <w:sz w:val="20"/>
                <w:szCs w:val="20"/>
              </w:rPr>
              <w:t xml:space="preserve"> </w:t>
            </w:r>
            <w:r w:rsidR="00251357">
              <w:rPr>
                <w:sz w:val="20"/>
                <w:szCs w:val="20"/>
              </w:rPr>
              <w:t>updated MoU with Ministry of Health, Border Guards, Ministry of Interior, Civil protection</w:t>
            </w:r>
          </w:p>
        </w:tc>
      </w:tr>
      <w:tr w:rsidR="003C4EE6" w14:paraId="05250D1E" w14:textId="77777777" w:rsidTr="00064B30">
        <w:trPr>
          <w:trHeight w:val="311"/>
        </w:trPr>
        <w:tc>
          <w:tcPr>
            <w:tcW w:w="2044" w:type="dxa"/>
            <w:vMerge w:val="restart"/>
          </w:tcPr>
          <w:p w14:paraId="12214C4A" w14:textId="1944D217" w:rsidR="003C4EE6" w:rsidRDefault="00895D44" w:rsidP="00D956FF">
            <w:r w:rsidRPr="00C83C4B">
              <w:rPr>
                <w:b/>
                <w:bCs/>
              </w:rPr>
              <w:t>Outcome</w:t>
            </w:r>
            <w:r>
              <w:t xml:space="preserve">: </w:t>
            </w:r>
            <w:r w:rsidR="00B81525" w:rsidRPr="00B81525">
              <w:t xml:space="preserve">Development of knowledge sharing </w:t>
            </w:r>
            <w:r w:rsidR="004F3D02">
              <w:t>and expert</w:t>
            </w:r>
            <w:r w:rsidR="00BE163A">
              <w:t>ise</w:t>
            </w:r>
            <w:r w:rsidR="004F3D02">
              <w:t xml:space="preserve"> </w:t>
            </w:r>
            <w:r w:rsidR="00B81525" w:rsidRPr="00B81525">
              <w:t xml:space="preserve">at individual level </w:t>
            </w:r>
            <w:r w:rsidR="00BE163A" w:rsidRPr="00BE163A">
              <w:t xml:space="preserve">to address critical and emerging risks, </w:t>
            </w:r>
            <w:r w:rsidR="00BE163A" w:rsidRPr="00BE163A">
              <w:lastRenderedPageBreak/>
              <w:t>prolonged emergencies, and concurrent disasters</w:t>
            </w:r>
            <w:r w:rsidR="00B81525" w:rsidRPr="00B81525">
              <w:t>.</w:t>
            </w:r>
          </w:p>
        </w:tc>
        <w:tc>
          <w:tcPr>
            <w:tcW w:w="1985" w:type="dxa"/>
            <w:vMerge w:val="restart"/>
          </w:tcPr>
          <w:p w14:paraId="22787F3D" w14:textId="74A63E7B" w:rsidR="003C4EE6" w:rsidRDefault="003C4EE6" w:rsidP="001823BD">
            <w:r>
              <w:lastRenderedPageBreak/>
              <w:t xml:space="preserve">WP2. </w:t>
            </w:r>
            <w:r w:rsidR="00D278E6">
              <w:t xml:space="preserve">NATIONAL AND INTERNATIONAL JOINT TRAINING EXERCISES </w:t>
            </w:r>
            <w:r>
              <w:t xml:space="preserve">including </w:t>
            </w:r>
            <w:r w:rsidR="00371E0E">
              <w:t>field simulation</w:t>
            </w:r>
          </w:p>
        </w:tc>
        <w:tc>
          <w:tcPr>
            <w:tcW w:w="3969" w:type="dxa"/>
          </w:tcPr>
          <w:p w14:paraId="074B1EB8" w14:textId="09B1A758" w:rsidR="003C4EE6" w:rsidRDefault="003C4EE6" w:rsidP="001823BD">
            <w:r>
              <w:t xml:space="preserve">T1. </w:t>
            </w:r>
            <w:r w:rsidR="00E5318A">
              <w:t>P</w:t>
            </w:r>
            <w:r>
              <w:t xml:space="preserve">re-identified trainings </w:t>
            </w:r>
            <w:r w:rsidR="00EA72D3">
              <w:t xml:space="preserve">and </w:t>
            </w:r>
            <w:r w:rsidR="009E086A">
              <w:t>field</w:t>
            </w:r>
            <w:r w:rsidR="00EA72D3">
              <w:t xml:space="preserve"> exercises </w:t>
            </w:r>
            <w:r w:rsidR="00CF6696">
              <w:t xml:space="preserve">open to all total defense stakeholders </w:t>
            </w:r>
            <w:r>
              <w:t xml:space="preserve">facilitated by RC or jointly </w:t>
            </w:r>
            <w:r w:rsidR="00E5318A">
              <w:t>(year 1)</w:t>
            </w:r>
          </w:p>
        </w:tc>
        <w:tc>
          <w:tcPr>
            <w:tcW w:w="7513" w:type="dxa"/>
          </w:tcPr>
          <w:p w14:paraId="5A007F71" w14:textId="77777777" w:rsidR="003C4EE6" w:rsidRDefault="003C4EE6" w:rsidP="001823BD">
            <w:pPr>
              <w:rPr>
                <w:sz w:val="20"/>
                <w:szCs w:val="20"/>
              </w:rPr>
            </w:pPr>
            <w:r>
              <w:rPr>
                <w:sz w:val="20"/>
                <w:szCs w:val="20"/>
              </w:rPr>
              <w:t>- international training on warehousing and logistics of relief assistance</w:t>
            </w:r>
          </w:p>
          <w:p w14:paraId="3F105E0C" w14:textId="69E537F2" w:rsidR="006867D8" w:rsidRDefault="006867D8" w:rsidP="006867D8">
            <w:pPr>
              <w:rPr>
                <w:sz w:val="20"/>
                <w:szCs w:val="20"/>
              </w:rPr>
            </w:pPr>
            <w:r>
              <w:rPr>
                <w:sz w:val="20"/>
                <w:szCs w:val="20"/>
              </w:rPr>
              <w:t>- international training on Red Cross Movement international emergency response tools and activation</w:t>
            </w:r>
            <w:r w:rsidR="008F2F54">
              <w:rPr>
                <w:sz w:val="20"/>
                <w:szCs w:val="20"/>
              </w:rPr>
              <w:t>, and humanitarian action in armed conflict</w:t>
            </w:r>
          </w:p>
          <w:p w14:paraId="4CB75530" w14:textId="34788CC7" w:rsidR="003C4EE6" w:rsidRDefault="003C4EE6" w:rsidP="001823BD">
            <w:pPr>
              <w:rPr>
                <w:sz w:val="20"/>
                <w:szCs w:val="20"/>
              </w:rPr>
            </w:pPr>
            <w:r>
              <w:rPr>
                <w:sz w:val="20"/>
                <w:szCs w:val="20"/>
              </w:rPr>
              <w:t xml:space="preserve">- </w:t>
            </w:r>
            <w:r w:rsidR="00FC1DBB">
              <w:rPr>
                <w:sz w:val="20"/>
                <w:szCs w:val="20"/>
              </w:rPr>
              <w:t xml:space="preserve">advanced FA and PFA trainings for civil protection and other total </w:t>
            </w:r>
            <w:proofErr w:type="spellStart"/>
            <w:r w:rsidR="00FC1DBB">
              <w:rPr>
                <w:sz w:val="20"/>
                <w:szCs w:val="20"/>
              </w:rPr>
              <w:t>defence</w:t>
            </w:r>
            <w:proofErr w:type="spellEnd"/>
            <w:r w:rsidR="00FC1DBB">
              <w:rPr>
                <w:sz w:val="20"/>
                <w:szCs w:val="20"/>
              </w:rPr>
              <w:t xml:space="preserve"> stakeholders</w:t>
            </w:r>
            <w:r w:rsidR="00484BBE">
              <w:rPr>
                <w:sz w:val="20"/>
                <w:szCs w:val="20"/>
              </w:rPr>
              <w:t xml:space="preserve"> per country (as relevant)</w:t>
            </w:r>
          </w:p>
          <w:p w14:paraId="3593DD41" w14:textId="7F26E08D" w:rsidR="00FC1DBB" w:rsidRDefault="00FC1DBB" w:rsidP="001823BD">
            <w:pPr>
              <w:rPr>
                <w:sz w:val="20"/>
                <w:szCs w:val="20"/>
              </w:rPr>
            </w:pPr>
            <w:r>
              <w:rPr>
                <w:sz w:val="20"/>
                <w:szCs w:val="20"/>
              </w:rPr>
              <w:t>-</w:t>
            </w:r>
            <w:r w:rsidR="007650E1">
              <w:rPr>
                <w:sz w:val="20"/>
                <w:szCs w:val="20"/>
              </w:rPr>
              <w:t xml:space="preserve"> joint</w:t>
            </w:r>
            <w:r w:rsidR="00484BBE">
              <w:rPr>
                <w:sz w:val="20"/>
                <w:szCs w:val="20"/>
              </w:rPr>
              <w:t xml:space="preserve"> RC and CP (and other stakeholders)</w:t>
            </w:r>
            <w:r>
              <w:rPr>
                <w:sz w:val="20"/>
                <w:szCs w:val="20"/>
              </w:rPr>
              <w:t xml:space="preserve"> </w:t>
            </w:r>
            <w:r w:rsidR="004F6267">
              <w:rPr>
                <w:sz w:val="20"/>
                <w:szCs w:val="20"/>
              </w:rPr>
              <w:t>field</w:t>
            </w:r>
            <w:r w:rsidR="007650E1">
              <w:rPr>
                <w:sz w:val="20"/>
                <w:szCs w:val="20"/>
              </w:rPr>
              <w:t xml:space="preserve"> exercise on managing evacuations</w:t>
            </w:r>
            <w:r w:rsidR="00484BBE">
              <w:rPr>
                <w:sz w:val="20"/>
                <w:szCs w:val="20"/>
              </w:rPr>
              <w:t xml:space="preserve"> or use of emergency equipment</w:t>
            </w:r>
          </w:p>
          <w:p w14:paraId="67E63250" w14:textId="5F99987E" w:rsidR="00484BBE" w:rsidRPr="00B23763" w:rsidRDefault="00073B57" w:rsidP="001823BD">
            <w:pPr>
              <w:rPr>
                <w:sz w:val="20"/>
                <w:szCs w:val="20"/>
              </w:rPr>
            </w:pPr>
            <w:r>
              <w:rPr>
                <w:sz w:val="20"/>
                <w:szCs w:val="20"/>
              </w:rPr>
              <w:t xml:space="preserve">- </w:t>
            </w:r>
            <w:r w:rsidR="008F2F54">
              <w:rPr>
                <w:sz w:val="20"/>
                <w:szCs w:val="20"/>
              </w:rPr>
              <w:t xml:space="preserve">international humanitarian </w:t>
            </w:r>
            <w:r w:rsidR="004072CD">
              <w:rPr>
                <w:sz w:val="20"/>
                <w:szCs w:val="20"/>
              </w:rPr>
              <w:t>information</w:t>
            </w:r>
            <w:r>
              <w:rPr>
                <w:sz w:val="20"/>
                <w:szCs w:val="20"/>
              </w:rPr>
              <w:t xml:space="preserve"> management </w:t>
            </w:r>
            <w:r w:rsidR="008F2F54">
              <w:rPr>
                <w:sz w:val="20"/>
                <w:szCs w:val="20"/>
              </w:rPr>
              <w:t xml:space="preserve">and data analysis </w:t>
            </w:r>
            <w:r>
              <w:rPr>
                <w:sz w:val="20"/>
                <w:szCs w:val="20"/>
              </w:rPr>
              <w:t>training</w:t>
            </w:r>
          </w:p>
        </w:tc>
      </w:tr>
      <w:tr w:rsidR="003C4EE6" w14:paraId="4E5546D8" w14:textId="77777777" w:rsidTr="00064B30">
        <w:trPr>
          <w:trHeight w:val="311"/>
        </w:trPr>
        <w:tc>
          <w:tcPr>
            <w:tcW w:w="2044" w:type="dxa"/>
            <w:vMerge/>
          </w:tcPr>
          <w:p w14:paraId="26B2EAD1" w14:textId="77777777" w:rsidR="003C4EE6" w:rsidRDefault="003C4EE6" w:rsidP="001823BD"/>
        </w:tc>
        <w:tc>
          <w:tcPr>
            <w:tcW w:w="1985" w:type="dxa"/>
            <w:vMerge/>
          </w:tcPr>
          <w:p w14:paraId="38E7187C" w14:textId="77777777" w:rsidR="003C4EE6" w:rsidRDefault="003C4EE6" w:rsidP="001823BD"/>
        </w:tc>
        <w:tc>
          <w:tcPr>
            <w:tcW w:w="3969" w:type="dxa"/>
          </w:tcPr>
          <w:p w14:paraId="14A32E9B" w14:textId="46F53538" w:rsidR="003C4EE6" w:rsidRDefault="003C4EE6" w:rsidP="006867D8">
            <w:r>
              <w:t xml:space="preserve">T2. </w:t>
            </w:r>
            <w:r w:rsidR="00E5318A">
              <w:t>T</w:t>
            </w:r>
            <w:r>
              <w:t xml:space="preserve">rainings and </w:t>
            </w:r>
            <w:r w:rsidR="00E5318A">
              <w:t>field</w:t>
            </w:r>
            <w:r>
              <w:t xml:space="preserve"> exercises </w:t>
            </w:r>
            <w:r w:rsidR="006867D8">
              <w:t xml:space="preserve">to cover </w:t>
            </w:r>
            <w:r>
              <w:t xml:space="preserve">identified </w:t>
            </w:r>
            <w:r w:rsidR="006867D8">
              <w:t xml:space="preserve">gaps </w:t>
            </w:r>
            <w:r>
              <w:t xml:space="preserve">based on </w:t>
            </w:r>
            <w:r w:rsidR="00E5318A">
              <w:t xml:space="preserve">desktop </w:t>
            </w:r>
            <w:r w:rsidR="006867D8">
              <w:t>review</w:t>
            </w:r>
            <w:r w:rsidR="00E5318A">
              <w:t xml:space="preserve"> and </w:t>
            </w:r>
            <w:r w:rsidR="006867D8">
              <w:t xml:space="preserve">simulation / coordination exercises </w:t>
            </w:r>
            <w:r w:rsidR="00E5318A">
              <w:t>(year 1 and 2)</w:t>
            </w:r>
          </w:p>
        </w:tc>
        <w:tc>
          <w:tcPr>
            <w:tcW w:w="7513" w:type="dxa"/>
          </w:tcPr>
          <w:p w14:paraId="533FB6D1" w14:textId="2774B137" w:rsidR="003C4EE6" w:rsidRPr="008F2F54" w:rsidRDefault="008F2F54" w:rsidP="008F2F54">
            <w:pPr>
              <w:pStyle w:val="ListParagraph"/>
              <w:numPr>
                <w:ilvl w:val="0"/>
                <w:numId w:val="5"/>
              </w:numPr>
              <w:rPr>
                <w:sz w:val="20"/>
                <w:szCs w:val="20"/>
              </w:rPr>
            </w:pPr>
            <w:r>
              <w:rPr>
                <w:sz w:val="20"/>
                <w:szCs w:val="20"/>
              </w:rPr>
              <w:t xml:space="preserve">1 additional type of training that has been identified as gap, based on year 1 exercises, </w:t>
            </w:r>
            <w:proofErr w:type="gramStart"/>
            <w:r>
              <w:rPr>
                <w:sz w:val="20"/>
                <w:szCs w:val="20"/>
              </w:rPr>
              <w:t>consultations</w:t>
            </w:r>
            <w:proofErr w:type="gramEnd"/>
            <w:r>
              <w:rPr>
                <w:sz w:val="20"/>
                <w:szCs w:val="20"/>
              </w:rPr>
              <w:t xml:space="preserve"> and trainings</w:t>
            </w:r>
          </w:p>
        </w:tc>
      </w:tr>
      <w:tr w:rsidR="003C4EE6" w14:paraId="371EAD4B" w14:textId="77777777" w:rsidTr="00064B30">
        <w:trPr>
          <w:trHeight w:val="311"/>
        </w:trPr>
        <w:tc>
          <w:tcPr>
            <w:tcW w:w="2044" w:type="dxa"/>
            <w:vMerge w:val="restart"/>
          </w:tcPr>
          <w:p w14:paraId="11526FAC" w14:textId="6B7570B6" w:rsidR="003C4EE6" w:rsidRDefault="0063798A" w:rsidP="001823BD">
            <w:r w:rsidRPr="00C83C4B">
              <w:rPr>
                <w:b/>
                <w:bCs/>
              </w:rPr>
              <w:t>Outcome</w:t>
            </w:r>
            <w:r>
              <w:t xml:space="preserve">: </w:t>
            </w:r>
            <w:r w:rsidR="004F42F7">
              <w:t>S</w:t>
            </w:r>
            <w:r w:rsidR="00D956FF" w:rsidRPr="004A640E">
              <w:t xml:space="preserve">haring of capabilities at </w:t>
            </w:r>
            <w:proofErr w:type="spellStart"/>
            <w:r w:rsidR="00D956FF" w:rsidRPr="004A640E">
              <w:t>organisational</w:t>
            </w:r>
            <w:proofErr w:type="spellEnd"/>
            <w:r w:rsidR="00D956FF" w:rsidRPr="004A640E">
              <w:t xml:space="preserve"> and systemic levels against common </w:t>
            </w:r>
            <w:r w:rsidR="004F42F7">
              <w:t>and</w:t>
            </w:r>
            <w:r w:rsidR="00D956FF" w:rsidRPr="004A640E">
              <w:t xml:space="preserve"> emerging risks</w:t>
            </w:r>
          </w:p>
        </w:tc>
        <w:tc>
          <w:tcPr>
            <w:tcW w:w="1985" w:type="dxa"/>
            <w:vMerge w:val="restart"/>
          </w:tcPr>
          <w:p w14:paraId="2292CD43" w14:textId="17A010A5" w:rsidR="00421653" w:rsidRDefault="003C4EE6" w:rsidP="00421653">
            <w:r>
              <w:t xml:space="preserve">WP3. </w:t>
            </w:r>
            <w:r w:rsidR="00D57291" w:rsidRPr="00D57291">
              <w:t>X-STOCK</w:t>
            </w:r>
            <w:r w:rsidR="00D57291">
              <w:t xml:space="preserve">: </w:t>
            </w:r>
            <w:r w:rsidR="00467867">
              <w:t xml:space="preserve">NEW TOOLS FOR ENHANCED CROSSBORDER EMERGENCY RESPONSE </w:t>
            </w:r>
            <w:r w:rsidR="00BB4A10">
              <w:t xml:space="preserve">CAPABILITIES, </w:t>
            </w:r>
            <w:r w:rsidR="009E788A">
              <w:t xml:space="preserve">focusing on relief support, based on new </w:t>
            </w:r>
            <w:r w:rsidR="00BB4A10">
              <w:t xml:space="preserve">methodologies </w:t>
            </w:r>
            <w:r w:rsidR="005C5739">
              <w:t>between</w:t>
            </w:r>
            <w:r>
              <w:t xml:space="preserve"> Baltic Red </w:t>
            </w:r>
            <w:proofErr w:type="gramStart"/>
            <w:r>
              <w:t>Cross National</w:t>
            </w:r>
            <w:proofErr w:type="gramEnd"/>
            <w:r>
              <w:t xml:space="preserve"> Societies</w:t>
            </w:r>
            <w:r w:rsidR="00421653">
              <w:t xml:space="preserve"> and key partners</w:t>
            </w:r>
          </w:p>
        </w:tc>
        <w:tc>
          <w:tcPr>
            <w:tcW w:w="3969" w:type="dxa"/>
          </w:tcPr>
          <w:p w14:paraId="74D94A85" w14:textId="2C6651B6" w:rsidR="003C4EE6" w:rsidRDefault="003C4EE6" w:rsidP="001823BD">
            <w:r>
              <w:t xml:space="preserve">T1. Strengthening support capacities of Red </w:t>
            </w:r>
            <w:proofErr w:type="gramStart"/>
            <w:r>
              <w:t>Cross National</w:t>
            </w:r>
            <w:proofErr w:type="gramEnd"/>
            <w:r>
              <w:t xml:space="preserve"> Societies in relief</w:t>
            </w:r>
            <w:r w:rsidR="006F71FD">
              <w:t xml:space="preserve"> and</w:t>
            </w:r>
            <w:r w:rsidR="00BD7403">
              <w:t xml:space="preserve"> for</w:t>
            </w:r>
            <w:r>
              <w:t xml:space="preserve"> </w:t>
            </w:r>
            <w:r w:rsidR="00BD7403">
              <w:t xml:space="preserve">cross-border </w:t>
            </w:r>
            <w:r>
              <w:t>assistance</w:t>
            </w:r>
          </w:p>
        </w:tc>
        <w:tc>
          <w:tcPr>
            <w:tcW w:w="7513" w:type="dxa"/>
          </w:tcPr>
          <w:p w14:paraId="1F1C0E5A" w14:textId="47550A7F" w:rsidR="003C4EE6" w:rsidRDefault="003C4EE6" w:rsidP="00972AD9">
            <w:pPr>
              <w:pStyle w:val="ListParagraph"/>
              <w:numPr>
                <w:ilvl w:val="0"/>
                <w:numId w:val="9"/>
              </w:numPr>
              <w:ind w:left="171" w:hanging="189"/>
              <w:rPr>
                <w:sz w:val="20"/>
                <w:szCs w:val="20"/>
              </w:rPr>
            </w:pPr>
            <w:r>
              <w:rPr>
                <w:sz w:val="20"/>
                <w:szCs w:val="20"/>
              </w:rPr>
              <w:t xml:space="preserve">Assessment of logistics, </w:t>
            </w:r>
            <w:proofErr w:type="gramStart"/>
            <w:r>
              <w:rPr>
                <w:sz w:val="20"/>
                <w:szCs w:val="20"/>
              </w:rPr>
              <w:t>procurement</w:t>
            </w:r>
            <w:proofErr w:type="gramEnd"/>
            <w:r>
              <w:rPr>
                <w:sz w:val="20"/>
                <w:szCs w:val="20"/>
              </w:rPr>
              <w:t xml:space="preserve"> and warehousing capacities of National Societies</w:t>
            </w:r>
          </w:p>
          <w:p w14:paraId="026E7EB5" w14:textId="6634AFD4" w:rsidR="003C4EE6" w:rsidRDefault="003C4EE6" w:rsidP="00972AD9">
            <w:pPr>
              <w:pStyle w:val="ListParagraph"/>
              <w:numPr>
                <w:ilvl w:val="0"/>
                <w:numId w:val="9"/>
              </w:numPr>
              <w:ind w:left="171" w:hanging="189"/>
              <w:rPr>
                <w:sz w:val="20"/>
                <w:szCs w:val="20"/>
              </w:rPr>
            </w:pPr>
            <w:r>
              <w:rPr>
                <w:sz w:val="20"/>
                <w:szCs w:val="20"/>
              </w:rPr>
              <w:t xml:space="preserve">Identification of relevant crisis risks and scenarios in dialogue with civil protection and total </w:t>
            </w:r>
            <w:proofErr w:type="spellStart"/>
            <w:r>
              <w:rPr>
                <w:sz w:val="20"/>
                <w:szCs w:val="20"/>
              </w:rPr>
              <w:t>defence</w:t>
            </w:r>
            <w:proofErr w:type="spellEnd"/>
            <w:r>
              <w:rPr>
                <w:sz w:val="20"/>
                <w:szCs w:val="20"/>
              </w:rPr>
              <w:t xml:space="preserve"> stakeholders to scope preparedness stock goals and institutional development </w:t>
            </w:r>
            <w:proofErr w:type="gramStart"/>
            <w:r>
              <w:rPr>
                <w:sz w:val="20"/>
                <w:szCs w:val="20"/>
              </w:rPr>
              <w:t>goals</w:t>
            </w:r>
            <w:proofErr w:type="gramEnd"/>
          </w:p>
          <w:p w14:paraId="225D74B7" w14:textId="5FE68E5E" w:rsidR="003C4EE6" w:rsidRDefault="003C4EE6" w:rsidP="00972AD9">
            <w:pPr>
              <w:pStyle w:val="ListParagraph"/>
              <w:numPr>
                <w:ilvl w:val="0"/>
                <w:numId w:val="9"/>
              </w:numPr>
              <w:ind w:left="171" w:hanging="189"/>
              <w:rPr>
                <w:sz w:val="20"/>
                <w:szCs w:val="20"/>
              </w:rPr>
            </w:pPr>
            <w:r>
              <w:rPr>
                <w:sz w:val="20"/>
                <w:szCs w:val="20"/>
              </w:rPr>
              <w:t xml:space="preserve">implementation of individual institutional development measures based on the assessment results (IT system development, individual capacity strengthening, SOPs, mapping of warehouse sites and supplier framework agreements) </w:t>
            </w:r>
          </w:p>
          <w:p w14:paraId="1ABA7595" w14:textId="77777777" w:rsidR="003C4EE6" w:rsidRDefault="003C4EE6" w:rsidP="00972AD9">
            <w:pPr>
              <w:pStyle w:val="ListParagraph"/>
              <w:numPr>
                <w:ilvl w:val="0"/>
                <w:numId w:val="9"/>
              </w:numPr>
              <w:ind w:left="171" w:hanging="189"/>
              <w:rPr>
                <w:sz w:val="20"/>
                <w:szCs w:val="20"/>
              </w:rPr>
            </w:pPr>
            <w:r>
              <w:rPr>
                <w:sz w:val="20"/>
                <w:szCs w:val="20"/>
              </w:rPr>
              <w:t xml:space="preserve">ensuring that during development, interfaces and processes (especially in data sharing) that enable smooth cross-border cooperation are </w:t>
            </w:r>
            <w:proofErr w:type="gramStart"/>
            <w:r>
              <w:rPr>
                <w:sz w:val="20"/>
                <w:szCs w:val="20"/>
              </w:rPr>
              <w:t>established</w:t>
            </w:r>
            <w:proofErr w:type="gramEnd"/>
          </w:p>
          <w:p w14:paraId="4F0CBF96" w14:textId="5AE62BFF" w:rsidR="001B0CEA" w:rsidRPr="00B23763" w:rsidRDefault="001B0CEA" w:rsidP="00972AD9">
            <w:pPr>
              <w:pStyle w:val="ListParagraph"/>
              <w:numPr>
                <w:ilvl w:val="0"/>
                <w:numId w:val="9"/>
              </w:numPr>
              <w:ind w:left="171" w:hanging="189"/>
              <w:rPr>
                <w:sz w:val="20"/>
                <w:szCs w:val="20"/>
              </w:rPr>
            </w:pPr>
            <w:r>
              <w:rPr>
                <w:sz w:val="20"/>
                <w:szCs w:val="20"/>
              </w:rPr>
              <w:t xml:space="preserve">establishing </w:t>
            </w:r>
            <w:r w:rsidR="009D2ABD">
              <w:rPr>
                <w:sz w:val="20"/>
                <w:szCs w:val="20"/>
              </w:rPr>
              <w:t xml:space="preserve">warehousing </w:t>
            </w:r>
            <w:proofErr w:type="spellStart"/>
            <w:r w:rsidR="009D2ABD">
              <w:rPr>
                <w:sz w:val="20"/>
                <w:szCs w:val="20"/>
              </w:rPr>
              <w:t>optimizatino</w:t>
            </w:r>
            <w:proofErr w:type="spellEnd"/>
            <w:r w:rsidR="009D2ABD">
              <w:rPr>
                <w:sz w:val="20"/>
                <w:szCs w:val="20"/>
              </w:rPr>
              <w:t xml:space="preserve"> recommendations and pre-emergency framework agreements with logs and </w:t>
            </w:r>
            <w:proofErr w:type="spellStart"/>
            <w:r w:rsidR="009D2ABD">
              <w:rPr>
                <w:sz w:val="20"/>
                <w:szCs w:val="20"/>
              </w:rPr>
              <w:t>warehousign</w:t>
            </w:r>
            <w:proofErr w:type="spellEnd"/>
            <w:r w:rsidR="009D2ABD">
              <w:rPr>
                <w:sz w:val="20"/>
                <w:szCs w:val="20"/>
              </w:rPr>
              <w:t xml:space="preserve"> suppliers</w:t>
            </w:r>
          </w:p>
        </w:tc>
      </w:tr>
      <w:tr w:rsidR="003C4EE6" w14:paraId="4DD988AA" w14:textId="77777777" w:rsidTr="00064B30">
        <w:trPr>
          <w:trHeight w:val="311"/>
        </w:trPr>
        <w:tc>
          <w:tcPr>
            <w:tcW w:w="2044" w:type="dxa"/>
            <w:vMerge/>
          </w:tcPr>
          <w:p w14:paraId="596E8FE2" w14:textId="77777777" w:rsidR="003C4EE6" w:rsidRDefault="003C4EE6" w:rsidP="001823BD"/>
        </w:tc>
        <w:tc>
          <w:tcPr>
            <w:tcW w:w="1985" w:type="dxa"/>
            <w:vMerge/>
          </w:tcPr>
          <w:p w14:paraId="0192A613" w14:textId="77777777" w:rsidR="003C4EE6" w:rsidRDefault="003C4EE6" w:rsidP="001823BD"/>
        </w:tc>
        <w:tc>
          <w:tcPr>
            <w:tcW w:w="3969" w:type="dxa"/>
          </w:tcPr>
          <w:p w14:paraId="71F9D9A0" w14:textId="3F23F6DD" w:rsidR="003C4EE6" w:rsidRDefault="003C4EE6" w:rsidP="001823BD">
            <w:r>
              <w:t xml:space="preserve">T2. X-stock and </w:t>
            </w:r>
            <w:r w:rsidR="00050871">
              <w:t xml:space="preserve">structured </w:t>
            </w:r>
            <w:r>
              <w:t xml:space="preserve">crossborder </w:t>
            </w:r>
            <w:r w:rsidR="005A205A">
              <w:t>emergency</w:t>
            </w:r>
            <w:r>
              <w:t xml:space="preserve"> support: establishing agreements, SOPs,</w:t>
            </w:r>
            <w:r w:rsidR="00710F9F">
              <w:t xml:space="preserve"> mechanisms,</w:t>
            </w:r>
            <w:r>
              <w:t xml:space="preserve"> tools and IT </w:t>
            </w:r>
            <w:r w:rsidR="00710F9F">
              <w:t>solutions</w:t>
            </w:r>
            <w:r>
              <w:t xml:space="preserve"> for cross-border support modalities between Red </w:t>
            </w:r>
            <w:proofErr w:type="gramStart"/>
            <w:r>
              <w:t>Cross National</w:t>
            </w:r>
            <w:proofErr w:type="gramEnd"/>
            <w:r>
              <w:t xml:space="preserve"> Societies, especially in relief</w:t>
            </w:r>
          </w:p>
        </w:tc>
        <w:tc>
          <w:tcPr>
            <w:tcW w:w="7513" w:type="dxa"/>
          </w:tcPr>
          <w:p w14:paraId="3F824BC2" w14:textId="5E85F3FB" w:rsidR="003C4EE6" w:rsidRDefault="003C4EE6" w:rsidP="00972AD9">
            <w:pPr>
              <w:pStyle w:val="ListParagraph"/>
              <w:numPr>
                <w:ilvl w:val="0"/>
                <w:numId w:val="9"/>
              </w:numPr>
              <w:ind w:left="171" w:hanging="189"/>
              <w:rPr>
                <w:sz w:val="20"/>
                <w:szCs w:val="20"/>
              </w:rPr>
            </w:pPr>
            <w:r w:rsidRPr="00CA01FE">
              <w:rPr>
                <w:sz w:val="20"/>
                <w:szCs w:val="20"/>
              </w:rPr>
              <w:t xml:space="preserve">assessment of cross-border relief and other </w:t>
            </w:r>
            <w:r w:rsidR="00972AD9">
              <w:rPr>
                <w:sz w:val="20"/>
                <w:szCs w:val="20"/>
              </w:rPr>
              <w:t>sectoral response</w:t>
            </w:r>
            <w:r w:rsidRPr="00CA01FE">
              <w:rPr>
                <w:sz w:val="20"/>
                <w:szCs w:val="20"/>
              </w:rPr>
              <w:t xml:space="preserve"> relations, bilateral agreements, and support options to be provided between RC organizations. </w:t>
            </w:r>
            <w:r w:rsidR="00460637">
              <w:rPr>
                <w:sz w:val="20"/>
                <w:szCs w:val="20"/>
              </w:rPr>
              <w:t>S</w:t>
            </w:r>
            <w:r w:rsidRPr="00CA01FE">
              <w:rPr>
                <w:sz w:val="20"/>
                <w:szCs w:val="20"/>
              </w:rPr>
              <w:t>takeholder mapping of international support options</w:t>
            </w:r>
            <w:r w:rsidR="00460637">
              <w:rPr>
                <w:sz w:val="20"/>
                <w:szCs w:val="20"/>
              </w:rPr>
              <w:t xml:space="preserve"> and inclusion of other DRM actors</w:t>
            </w:r>
          </w:p>
          <w:p w14:paraId="3739F2E2" w14:textId="7D5E2D49" w:rsidR="00FE309C" w:rsidRPr="00FE309C" w:rsidRDefault="00FE309C" w:rsidP="00972AD9">
            <w:pPr>
              <w:pStyle w:val="ListParagraph"/>
              <w:numPr>
                <w:ilvl w:val="0"/>
                <w:numId w:val="9"/>
              </w:numPr>
              <w:ind w:left="171" w:hanging="189"/>
              <w:rPr>
                <w:sz w:val="20"/>
                <w:szCs w:val="20"/>
              </w:rPr>
            </w:pPr>
            <w:r w:rsidRPr="008C499B">
              <w:rPr>
                <w:sz w:val="20"/>
                <w:szCs w:val="20"/>
              </w:rPr>
              <w:t xml:space="preserve">defining scenarios </w:t>
            </w:r>
            <w:r>
              <w:rPr>
                <w:sz w:val="20"/>
                <w:szCs w:val="20"/>
              </w:rPr>
              <w:t>for</w:t>
            </w:r>
            <w:r w:rsidRPr="008C499B">
              <w:rPr>
                <w:sz w:val="20"/>
                <w:szCs w:val="20"/>
              </w:rPr>
              <w:t xml:space="preserve"> </w:t>
            </w:r>
            <w:r>
              <w:rPr>
                <w:sz w:val="20"/>
                <w:szCs w:val="20"/>
              </w:rPr>
              <w:t xml:space="preserve">relevant </w:t>
            </w:r>
            <w:r w:rsidRPr="008C499B">
              <w:rPr>
                <w:sz w:val="20"/>
                <w:szCs w:val="20"/>
              </w:rPr>
              <w:t xml:space="preserve">minimum joint stock </w:t>
            </w:r>
            <w:r>
              <w:rPr>
                <w:sz w:val="20"/>
                <w:szCs w:val="20"/>
              </w:rPr>
              <w:t>level</w:t>
            </w:r>
            <w:r w:rsidRPr="008C499B">
              <w:rPr>
                <w:sz w:val="20"/>
                <w:szCs w:val="20"/>
              </w:rPr>
              <w:t> </w:t>
            </w:r>
          </w:p>
          <w:p w14:paraId="04A11763" w14:textId="736B5D5E" w:rsidR="003C4EE6" w:rsidRPr="00CA01FE" w:rsidRDefault="003C4EE6" w:rsidP="00972AD9">
            <w:pPr>
              <w:pStyle w:val="ListParagraph"/>
              <w:numPr>
                <w:ilvl w:val="0"/>
                <w:numId w:val="9"/>
              </w:numPr>
              <w:ind w:left="171" w:hanging="189"/>
              <w:rPr>
                <w:sz w:val="20"/>
                <w:szCs w:val="20"/>
              </w:rPr>
            </w:pPr>
            <w:r w:rsidRPr="00CA01FE">
              <w:rPr>
                <w:sz w:val="20"/>
                <w:szCs w:val="20"/>
              </w:rPr>
              <w:t xml:space="preserve">based on the </w:t>
            </w:r>
            <w:r>
              <w:rPr>
                <w:sz w:val="20"/>
                <w:szCs w:val="20"/>
              </w:rPr>
              <w:t>assessment</w:t>
            </w:r>
            <w:r w:rsidRPr="00CA01FE">
              <w:rPr>
                <w:sz w:val="20"/>
                <w:szCs w:val="20"/>
              </w:rPr>
              <w:t xml:space="preserve">, development of requirements for the </w:t>
            </w:r>
            <w:proofErr w:type="spellStart"/>
            <w:r w:rsidRPr="007F0768">
              <w:rPr>
                <w:b/>
                <w:bCs/>
                <w:sz w:val="20"/>
                <w:szCs w:val="20"/>
              </w:rPr>
              <w:t>xstock</w:t>
            </w:r>
            <w:proofErr w:type="spellEnd"/>
            <w:r w:rsidRPr="007F0768">
              <w:rPr>
                <w:b/>
                <w:bCs/>
                <w:sz w:val="20"/>
                <w:szCs w:val="20"/>
              </w:rPr>
              <w:t xml:space="preserve"> platform</w:t>
            </w:r>
            <w:r w:rsidRPr="00CA01FE">
              <w:rPr>
                <w:sz w:val="20"/>
                <w:szCs w:val="20"/>
              </w:rPr>
              <w:t xml:space="preserve"> and the parameters of other </w:t>
            </w:r>
            <w:r w:rsidR="003A4C5E">
              <w:rPr>
                <w:sz w:val="20"/>
                <w:szCs w:val="20"/>
              </w:rPr>
              <w:t>emergency</w:t>
            </w:r>
            <w:r w:rsidRPr="00CA01FE">
              <w:rPr>
                <w:sz w:val="20"/>
                <w:szCs w:val="20"/>
              </w:rPr>
              <w:t xml:space="preserve"> cooperation /activation mechanisms</w:t>
            </w:r>
            <w:r w:rsidR="00914C7A">
              <w:rPr>
                <w:sz w:val="20"/>
                <w:szCs w:val="20"/>
              </w:rPr>
              <w:t xml:space="preserve"> (such as crossborder EOC</w:t>
            </w:r>
            <w:r w:rsidR="003A4C5E">
              <w:rPr>
                <w:sz w:val="20"/>
                <w:szCs w:val="20"/>
              </w:rPr>
              <w:t>/</w:t>
            </w:r>
            <w:r w:rsidR="00914C7A">
              <w:rPr>
                <w:sz w:val="20"/>
                <w:szCs w:val="20"/>
              </w:rPr>
              <w:t xml:space="preserve"> </w:t>
            </w:r>
            <w:r w:rsidR="003A4C5E">
              <w:rPr>
                <w:sz w:val="20"/>
                <w:szCs w:val="20"/>
              </w:rPr>
              <w:t>data sharing)</w:t>
            </w:r>
          </w:p>
          <w:p w14:paraId="34CEA904" w14:textId="77777777" w:rsidR="00C34E72" w:rsidRDefault="003C4EE6" w:rsidP="00972AD9">
            <w:pPr>
              <w:pStyle w:val="ListParagraph"/>
              <w:numPr>
                <w:ilvl w:val="0"/>
                <w:numId w:val="9"/>
              </w:numPr>
              <w:ind w:left="171" w:hanging="189"/>
              <w:rPr>
                <w:sz w:val="20"/>
                <w:szCs w:val="20"/>
              </w:rPr>
            </w:pPr>
            <w:r w:rsidRPr="00C34E72">
              <w:rPr>
                <w:sz w:val="20"/>
                <w:szCs w:val="20"/>
              </w:rPr>
              <w:t xml:space="preserve">setting up </w:t>
            </w:r>
            <w:r w:rsidR="00C34E72" w:rsidRPr="00C34E72">
              <w:rPr>
                <w:sz w:val="20"/>
                <w:szCs w:val="20"/>
              </w:rPr>
              <w:t>cross-country</w:t>
            </w:r>
            <w:r w:rsidRPr="00C34E72">
              <w:rPr>
                <w:sz w:val="20"/>
                <w:szCs w:val="20"/>
              </w:rPr>
              <w:t xml:space="preserve"> coordination</w:t>
            </w:r>
            <w:r w:rsidR="00C34E72" w:rsidRPr="00C34E72">
              <w:rPr>
                <w:sz w:val="20"/>
                <w:szCs w:val="20"/>
              </w:rPr>
              <w:t xml:space="preserve"> mechanisms</w:t>
            </w:r>
          </w:p>
          <w:p w14:paraId="191ECE35" w14:textId="04E05856" w:rsidR="003C4EE6" w:rsidRPr="00CA01FE" w:rsidRDefault="00C34E72" w:rsidP="00972AD9">
            <w:pPr>
              <w:pStyle w:val="ListParagraph"/>
              <w:numPr>
                <w:ilvl w:val="0"/>
                <w:numId w:val="9"/>
              </w:numPr>
              <w:ind w:left="171" w:hanging="189"/>
              <w:rPr>
                <w:sz w:val="20"/>
                <w:szCs w:val="20"/>
              </w:rPr>
            </w:pPr>
            <w:r>
              <w:rPr>
                <w:sz w:val="20"/>
                <w:szCs w:val="20"/>
              </w:rPr>
              <w:t xml:space="preserve">signing of </w:t>
            </w:r>
            <w:r w:rsidR="003C4EE6" w:rsidRPr="007C3A7F">
              <w:rPr>
                <w:sz w:val="20"/>
                <w:szCs w:val="20"/>
              </w:rPr>
              <w:t xml:space="preserve">pre-disaster agreement, </w:t>
            </w:r>
            <w:r>
              <w:rPr>
                <w:sz w:val="20"/>
                <w:szCs w:val="20"/>
              </w:rPr>
              <w:t xml:space="preserve">related to </w:t>
            </w:r>
            <w:proofErr w:type="spellStart"/>
            <w:r w:rsidR="003C4EE6" w:rsidRPr="007C3A7F">
              <w:rPr>
                <w:sz w:val="20"/>
                <w:szCs w:val="20"/>
              </w:rPr>
              <w:t>xstock</w:t>
            </w:r>
            <w:proofErr w:type="spellEnd"/>
            <w:r w:rsidR="003C4EE6" w:rsidRPr="007C3A7F">
              <w:rPr>
                <w:sz w:val="20"/>
                <w:szCs w:val="20"/>
              </w:rPr>
              <w:t xml:space="preserve">, </w:t>
            </w:r>
            <w:r>
              <w:rPr>
                <w:sz w:val="20"/>
                <w:szCs w:val="20"/>
              </w:rPr>
              <w:t>and</w:t>
            </w:r>
            <w:r w:rsidR="003C4EE6" w:rsidRPr="007C3A7F">
              <w:rPr>
                <w:sz w:val="20"/>
                <w:szCs w:val="20"/>
              </w:rPr>
              <w:t xml:space="preserve"> other</w:t>
            </w:r>
            <w:r>
              <w:rPr>
                <w:sz w:val="20"/>
                <w:szCs w:val="20"/>
              </w:rPr>
              <w:t xml:space="preserve"> relevant</w:t>
            </w:r>
            <w:r w:rsidR="003C4EE6" w:rsidRPr="007C3A7F">
              <w:rPr>
                <w:sz w:val="20"/>
                <w:szCs w:val="20"/>
              </w:rPr>
              <w:t xml:space="preserve"> sectors and areas</w:t>
            </w:r>
          </w:p>
        </w:tc>
      </w:tr>
      <w:tr w:rsidR="00460637" w14:paraId="0722D1F7" w14:textId="77777777" w:rsidTr="00064B30">
        <w:trPr>
          <w:trHeight w:val="311"/>
        </w:trPr>
        <w:tc>
          <w:tcPr>
            <w:tcW w:w="2044" w:type="dxa"/>
          </w:tcPr>
          <w:p w14:paraId="32BB39DE" w14:textId="77777777" w:rsidR="00460637" w:rsidRDefault="00460637" w:rsidP="001823BD"/>
        </w:tc>
        <w:tc>
          <w:tcPr>
            <w:tcW w:w="1985" w:type="dxa"/>
          </w:tcPr>
          <w:p w14:paraId="1905FBE4" w14:textId="77777777" w:rsidR="00460637" w:rsidRDefault="00460637" w:rsidP="00460637">
            <w:r>
              <w:t>WP4: PROJECT COORDINATION</w:t>
            </w:r>
          </w:p>
          <w:p w14:paraId="53A7C686" w14:textId="77777777" w:rsidR="00460637" w:rsidRDefault="00460637" w:rsidP="001823BD"/>
        </w:tc>
        <w:tc>
          <w:tcPr>
            <w:tcW w:w="3969" w:type="dxa"/>
          </w:tcPr>
          <w:p w14:paraId="6677EA74" w14:textId="77777777" w:rsidR="00460637" w:rsidRDefault="00460637" w:rsidP="001823BD"/>
        </w:tc>
        <w:tc>
          <w:tcPr>
            <w:tcW w:w="7513" w:type="dxa"/>
          </w:tcPr>
          <w:p w14:paraId="301A28CF" w14:textId="77777777" w:rsidR="00460637" w:rsidRDefault="00CB4E3F" w:rsidP="00972AD9">
            <w:pPr>
              <w:pStyle w:val="ListParagraph"/>
              <w:numPr>
                <w:ilvl w:val="0"/>
                <w:numId w:val="9"/>
              </w:numPr>
              <w:ind w:left="171" w:hanging="189"/>
              <w:rPr>
                <w:sz w:val="20"/>
                <w:szCs w:val="20"/>
              </w:rPr>
            </w:pPr>
            <w:r>
              <w:rPr>
                <w:sz w:val="20"/>
                <w:szCs w:val="20"/>
              </w:rPr>
              <w:t>kickoff and midterm project meetings</w:t>
            </w:r>
          </w:p>
          <w:p w14:paraId="6AD7E497" w14:textId="5BA3F984" w:rsidR="00B81AEB" w:rsidRDefault="00B81AEB" w:rsidP="00972AD9">
            <w:pPr>
              <w:pStyle w:val="ListParagraph"/>
              <w:numPr>
                <w:ilvl w:val="0"/>
                <w:numId w:val="9"/>
              </w:numPr>
              <w:ind w:left="171" w:hanging="189"/>
              <w:rPr>
                <w:sz w:val="20"/>
                <w:szCs w:val="20"/>
              </w:rPr>
            </w:pPr>
            <w:r>
              <w:rPr>
                <w:sz w:val="20"/>
                <w:szCs w:val="20"/>
              </w:rPr>
              <w:t>regular financial and narrative reporting</w:t>
            </w:r>
          </w:p>
          <w:p w14:paraId="216A53F0" w14:textId="2B4CA2FB" w:rsidR="00CB4E3F" w:rsidRPr="00CA01FE" w:rsidRDefault="00B81AEB" w:rsidP="00972AD9">
            <w:pPr>
              <w:pStyle w:val="ListParagraph"/>
              <w:numPr>
                <w:ilvl w:val="0"/>
                <w:numId w:val="9"/>
              </w:numPr>
              <w:ind w:left="171" w:hanging="189"/>
              <w:rPr>
                <w:sz w:val="20"/>
                <w:szCs w:val="20"/>
              </w:rPr>
            </w:pPr>
            <w:r>
              <w:rPr>
                <w:sz w:val="20"/>
                <w:szCs w:val="20"/>
              </w:rPr>
              <w:t>final evaluation and audit</w:t>
            </w:r>
          </w:p>
        </w:tc>
      </w:tr>
      <w:tr w:rsidR="00460637" w14:paraId="57B5F304" w14:textId="77777777" w:rsidTr="00064B30">
        <w:trPr>
          <w:trHeight w:val="311"/>
        </w:trPr>
        <w:tc>
          <w:tcPr>
            <w:tcW w:w="2044" w:type="dxa"/>
          </w:tcPr>
          <w:p w14:paraId="5DDDB7E9" w14:textId="77777777" w:rsidR="00460637" w:rsidRDefault="00460637" w:rsidP="001823BD"/>
        </w:tc>
        <w:tc>
          <w:tcPr>
            <w:tcW w:w="1985" w:type="dxa"/>
          </w:tcPr>
          <w:p w14:paraId="1DE554EA" w14:textId="2B99E957" w:rsidR="00460637" w:rsidRDefault="00460637" w:rsidP="00460637">
            <w:r>
              <w:t>WP 5: DISSEMINATION</w:t>
            </w:r>
          </w:p>
        </w:tc>
        <w:tc>
          <w:tcPr>
            <w:tcW w:w="3969" w:type="dxa"/>
          </w:tcPr>
          <w:p w14:paraId="01F764BC" w14:textId="77777777" w:rsidR="00460637" w:rsidRDefault="00460637" w:rsidP="001823BD"/>
        </w:tc>
        <w:tc>
          <w:tcPr>
            <w:tcW w:w="7513" w:type="dxa"/>
          </w:tcPr>
          <w:p w14:paraId="21426E9C" w14:textId="1A73CBA5" w:rsidR="00B81AEB" w:rsidRPr="00B81AEB" w:rsidRDefault="00B81AEB" w:rsidP="00B81AEB">
            <w:pPr>
              <w:pStyle w:val="ListParagraph"/>
              <w:numPr>
                <w:ilvl w:val="0"/>
                <w:numId w:val="9"/>
              </w:numPr>
              <w:ind w:left="171" w:hanging="189"/>
              <w:rPr>
                <w:sz w:val="20"/>
                <w:szCs w:val="20"/>
              </w:rPr>
            </w:pPr>
            <w:r>
              <w:rPr>
                <w:sz w:val="20"/>
                <w:szCs w:val="20"/>
              </w:rPr>
              <w:t xml:space="preserve">consolidated reports sharing learnings and outcomes within the </w:t>
            </w:r>
            <w:proofErr w:type="gramStart"/>
            <w:r>
              <w:rPr>
                <w:sz w:val="20"/>
                <w:szCs w:val="20"/>
              </w:rPr>
              <w:t>sector</w:t>
            </w:r>
            <w:proofErr w:type="gramEnd"/>
          </w:p>
          <w:p w14:paraId="0AE03DF7" w14:textId="2EB2ED32" w:rsidR="00460637" w:rsidRPr="00CA01FE" w:rsidRDefault="00460637" w:rsidP="00972AD9">
            <w:pPr>
              <w:pStyle w:val="ListParagraph"/>
              <w:numPr>
                <w:ilvl w:val="0"/>
                <w:numId w:val="9"/>
              </w:numPr>
              <w:ind w:left="171" w:hanging="189"/>
              <w:rPr>
                <w:sz w:val="20"/>
                <w:szCs w:val="20"/>
              </w:rPr>
            </w:pPr>
            <w:r>
              <w:t>closing conference/ final event (inviting also UCPM rep)</w:t>
            </w:r>
          </w:p>
        </w:tc>
      </w:tr>
    </w:tbl>
    <w:p w14:paraId="2EAF77C7" w14:textId="381C8281" w:rsidR="00F3122C" w:rsidRDefault="00F3122C" w:rsidP="001823BD"/>
    <w:p w14:paraId="12E00B60" w14:textId="77777777" w:rsidR="004B3129" w:rsidRDefault="004B3129" w:rsidP="001823BD"/>
    <w:p w14:paraId="11BDF68A" w14:textId="77777777" w:rsidR="00D613BB" w:rsidRDefault="00D613BB" w:rsidP="001823BD"/>
    <w:p w14:paraId="1FE7CEAC" w14:textId="77777777" w:rsidR="004B3129" w:rsidRDefault="004B3129" w:rsidP="001823BD"/>
    <w:p w14:paraId="13933D85" w14:textId="77777777" w:rsidR="004B3129" w:rsidRDefault="004B3129" w:rsidP="001823BD">
      <w:pPr>
        <w:sectPr w:rsidR="004B3129" w:rsidSect="00822028">
          <w:footerReference w:type="even" r:id="rId10"/>
          <w:footerReference w:type="default" r:id="rId11"/>
          <w:footerReference w:type="first" r:id="rId12"/>
          <w:pgSz w:w="15840" w:h="12240" w:orient="landscape"/>
          <w:pgMar w:top="142" w:right="1080" w:bottom="142" w:left="1080" w:header="720" w:footer="720" w:gutter="0"/>
          <w:cols w:space="720"/>
          <w:docGrid w:linePitch="360"/>
        </w:sectPr>
      </w:pPr>
    </w:p>
    <w:p w14:paraId="7184F11C" w14:textId="52C1B75D" w:rsidR="004B3129" w:rsidRPr="001823BD" w:rsidRDefault="008C76FB" w:rsidP="004B3129">
      <w:r>
        <w:rPr>
          <w:noProof/>
        </w:rPr>
        <w:lastRenderedPageBreak/>
        <mc:AlternateContent>
          <mc:Choice Requires="wps">
            <w:drawing>
              <wp:anchor distT="0" distB="0" distL="114300" distR="114300" simplePos="0" relativeHeight="251658248" behindDoc="1" locked="0" layoutInCell="1" allowOverlap="1" wp14:anchorId="1B1500F0" wp14:editId="6263D9B7">
                <wp:simplePos x="0" y="0"/>
                <wp:positionH relativeFrom="margin">
                  <wp:posOffset>16933</wp:posOffset>
                </wp:positionH>
                <wp:positionV relativeFrom="page">
                  <wp:posOffset>9077325</wp:posOffset>
                </wp:positionV>
                <wp:extent cx="6543675" cy="850900"/>
                <wp:effectExtent l="0" t="0" r="9525" b="6350"/>
                <wp:wrapNone/>
                <wp:docPr id="233"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43675" cy="85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A9C2E" w14:textId="77777777" w:rsidR="004B3129" w:rsidRDefault="004F3996" w:rsidP="004B3129">
                            <w:pPr>
                              <w:pStyle w:val="BodyText"/>
                              <w:spacing w:before="30" w:line="228" w:lineRule="auto"/>
                              <w:ind w:right="17"/>
                              <w:jc w:val="both"/>
                            </w:pPr>
                            <w:hyperlink r:id="rId13" w:history="1">
                              <w:r w:rsidR="004B3129" w:rsidRPr="00FC08CB">
                                <w:rPr>
                                  <w:rStyle w:val="Hyperlink"/>
                                </w:rPr>
                                <w:t>Call document</w:t>
                              </w:r>
                            </w:hyperlink>
                          </w:p>
                          <w:p w14:paraId="66768346" w14:textId="77777777" w:rsidR="004B3129" w:rsidRDefault="004F3996" w:rsidP="004B3129">
                            <w:pPr>
                              <w:pStyle w:val="BodyText"/>
                              <w:spacing w:before="30" w:line="228" w:lineRule="auto"/>
                              <w:ind w:right="17"/>
                              <w:jc w:val="both"/>
                            </w:pPr>
                            <w:hyperlink r:id="rId14" w:history="1">
                              <w:r w:rsidR="004B3129" w:rsidRPr="00FC08CB">
                                <w:rPr>
                                  <w:rStyle w:val="Hyperlink"/>
                                </w:rPr>
                                <w:t>Call on the Funding and Tenders Portal</w:t>
                              </w:r>
                            </w:hyperlink>
                          </w:p>
                          <w:p w14:paraId="6B970A4A" w14:textId="77777777" w:rsidR="004B3129" w:rsidRDefault="004F3996" w:rsidP="004B3129">
                            <w:pPr>
                              <w:pStyle w:val="BodyText"/>
                              <w:spacing w:before="30" w:line="228" w:lineRule="auto"/>
                              <w:ind w:right="17"/>
                              <w:jc w:val="both"/>
                            </w:pPr>
                            <w:hyperlink r:id="rId15" w:history="1">
                              <w:r w:rsidR="004B3129" w:rsidRPr="00A830E5">
                                <w:rPr>
                                  <w:rStyle w:val="Hyperlink"/>
                                </w:rPr>
                                <w:t>Proposal template</w:t>
                              </w:r>
                            </w:hyperlink>
                          </w:p>
                          <w:p w14:paraId="1C72AE5F" w14:textId="77777777" w:rsidR="004B3129" w:rsidRDefault="004F3996" w:rsidP="004B3129">
                            <w:pPr>
                              <w:pStyle w:val="BodyText"/>
                              <w:spacing w:before="30" w:line="228" w:lineRule="auto"/>
                              <w:ind w:right="17"/>
                              <w:jc w:val="both"/>
                            </w:pPr>
                            <w:hyperlink r:id="rId16" w:history="1">
                              <w:r w:rsidR="004B3129" w:rsidRPr="006C0931">
                                <w:rPr>
                                  <w:rStyle w:val="Hyperlink"/>
                                </w:rPr>
                                <w:t>Model Grant Agreement</w:t>
                              </w:r>
                            </w:hyperlink>
                          </w:p>
                          <w:p w14:paraId="76984528" w14:textId="77777777" w:rsidR="004B3129" w:rsidRDefault="004F3996" w:rsidP="004B3129">
                            <w:pPr>
                              <w:pStyle w:val="BodyText"/>
                              <w:spacing w:before="30" w:line="228" w:lineRule="auto"/>
                              <w:ind w:right="17"/>
                              <w:jc w:val="both"/>
                            </w:pPr>
                            <w:hyperlink r:id="rId17" w:anchor="bcl-inpage-item-3909" w:history="1">
                              <w:r w:rsidR="004B3129" w:rsidRPr="00967F7F">
                                <w:rPr>
                                  <w:rStyle w:val="Hyperlink"/>
                                </w:rPr>
                                <w:t>Website</w:t>
                              </w:r>
                            </w:hyperlink>
                          </w:p>
                          <w:p w14:paraId="4AA1F6C8" w14:textId="77777777" w:rsidR="004B3129" w:rsidRDefault="004B3129" w:rsidP="004B3129">
                            <w:pPr>
                              <w:pStyle w:val="BodyText"/>
                              <w:spacing w:before="30" w:line="228" w:lineRule="auto"/>
                              <w:ind w:right="17"/>
                              <w:jc w:val="both"/>
                            </w:pPr>
                          </w:p>
                          <w:p w14:paraId="42853C2F" w14:textId="77777777" w:rsidR="004B3129" w:rsidRDefault="004B3129" w:rsidP="004B3129">
                            <w:pPr>
                              <w:pStyle w:val="BodyText"/>
                              <w:spacing w:before="30" w:line="228" w:lineRule="auto"/>
                              <w:ind w:left="0" w:right="17"/>
                              <w:jc w:val="both"/>
                            </w:pPr>
                          </w:p>
                          <w:p w14:paraId="0C62B5A3" w14:textId="77777777" w:rsidR="004B3129" w:rsidRDefault="004B3129" w:rsidP="004B3129">
                            <w:pPr>
                              <w:pStyle w:val="BodyText"/>
                              <w:spacing w:before="30" w:line="228" w:lineRule="auto"/>
                              <w:ind w:left="0" w:right="17"/>
                              <w:jc w:val="right"/>
                              <w:rPr>
                                <w:i/>
                                <w:iCs/>
                              </w:rPr>
                            </w:pPr>
                          </w:p>
                          <w:p w14:paraId="41DEEA88" w14:textId="77777777" w:rsidR="004B3129" w:rsidRDefault="004B3129" w:rsidP="004B3129">
                            <w:pPr>
                              <w:pStyle w:val="BodyText"/>
                              <w:spacing w:before="30" w:line="228" w:lineRule="auto"/>
                              <w:ind w:left="0" w:right="17"/>
                              <w:jc w:val="right"/>
                              <w:rPr>
                                <w:i/>
                                <w:iCs/>
                              </w:rPr>
                            </w:pPr>
                          </w:p>
                          <w:p w14:paraId="1FD845B7" w14:textId="77777777" w:rsidR="004B3129" w:rsidRDefault="004B3129" w:rsidP="004B3129">
                            <w:pPr>
                              <w:pStyle w:val="BodyText"/>
                              <w:spacing w:before="30" w:line="228" w:lineRule="auto"/>
                              <w:ind w:left="0" w:right="17"/>
                              <w:jc w:val="right"/>
                              <w:rPr>
                                <w:i/>
                                <w:iCs/>
                              </w:rPr>
                            </w:pPr>
                          </w:p>
                          <w:p w14:paraId="46F73CF2" w14:textId="77777777" w:rsidR="004B3129" w:rsidRDefault="004B3129" w:rsidP="004B3129">
                            <w:pPr>
                              <w:pStyle w:val="BodyText"/>
                              <w:spacing w:before="30" w:line="228" w:lineRule="auto"/>
                              <w:ind w:left="0" w:right="17"/>
                              <w:jc w:val="right"/>
                              <w:rPr>
                                <w:i/>
                                <w:iCs/>
                              </w:rPr>
                            </w:pPr>
                          </w:p>
                          <w:p w14:paraId="15E9E3FD" w14:textId="77777777" w:rsidR="004B3129" w:rsidRDefault="004B3129" w:rsidP="004B3129">
                            <w:pPr>
                              <w:pStyle w:val="BodyText"/>
                              <w:spacing w:before="30" w:line="228" w:lineRule="auto"/>
                              <w:ind w:left="0" w:right="17"/>
                              <w:jc w:val="right"/>
                              <w:rPr>
                                <w:i/>
                                <w:iCs/>
                              </w:rPr>
                            </w:pPr>
                          </w:p>
                          <w:p w14:paraId="48DC0CBE" w14:textId="77777777" w:rsidR="004B3129" w:rsidRPr="001E3F9A" w:rsidRDefault="004B3129" w:rsidP="004B3129">
                            <w:pPr>
                              <w:pStyle w:val="BodyText"/>
                              <w:spacing w:before="30" w:line="228" w:lineRule="auto"/>
                              <w:ind w:left="0" w:right="17"/>
                              <w:jc w:val="right"/>
                              <w:rPr>
                                <w:i/>
                                <w:iC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500F0" id="_x0000_t202" coordsize="21600,21600" o:spt="202" path="m,l,21600r21600,l21600,xe">
                <v:stroke joinstyle="miter"/>
                <v:path gradientshapeok="t" o:connecttype="rect"/>
              </v:shapetype>
              <v:shape id="Text Box 234" o:spid="_x0000_s1026" type="#_x0000_t202" style="position:absolute;margin-left:1.35pt;margin-top:714.75pt;width:515.25pt;height:67pt;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" filled="f" stroked="f">
                <v:path arrowok="t"/>
                <v:textbox inset="0,0,0,0">
                  <w:txbxContent>
                    <w:p w14:paraId="7FEA9C2E" w14:textId="77777777" w:rsidR="004B3129" w:rsidRDefault="00313751" w:rsidP="004B3129">
                      <w:pPr>
                        <w:pStyle w:val="BodyText"/>
                        <w:spacing w:before="30" w:line="228" w:lineRule="auto"/>
                        <w:ind w:right="17"/>
                        <w:jc w:val="both"/>
                      </w:pPr>
                      <w:hyperlink r:id="rId22" w:history="1">
                        <w:r w:rsidR="004B3129" w:rsidRPr="00FC08CB">
                          <w:rPr>
                            <w:rStyle w:val="Hyperlink"/>
                          </w:rPr>
                          <w:t>Call document</w:t>
                        </w:r>
                      </w:hyperlink>
                    </w:p>
                    <w:p w14:paraId="66768346" w14:textId="77777777" w:rsidR="004B3129" w:rsidRDefault="00B81AEB" w:rsidP="004B3129">
                      <w:pPr>
                        <w:pStyle w:val="BodyText"/>
                        <w:spacing w:before="30" w:line="228" w:lineRule="auto"/>
                        <w:ind w:right="17"/>
                        <w:jc w:val="both"/>
                      </w:pPr>
                      <w:hyperlink r:id="rId23" w:history="1">
                        <w:r w:rsidR="004B3129" w:rsidRPr="00FC08CB">
                          <w:rPr>
                            <w:rStyle w:val="Hyperlink"/>
                          </w:rPr>
                          <w:t>Call on the Funding and Tenders Portal</w:t>
                        </w:r>
                      </w:hyperlink>
                    </w:p>
                    <w:p w14:paraId="6B970A4A" w14:textId="77777777" w:rsidR="004B3129" w:rsidRDefault="00B81AEB" w:rsidP="004B3129">
                      <w:pPr>
                        <w:pStyle w:val="BodyText"/>
                        <w:spacing w:before="30" w:line="228" w:lineRule="auto"/>
                        <w:ind w:right="17"/>
                        <w:jc w:val="both"/>
                      </w:pPr>
                      <w:hyperlink r:id="rId24" w:history="1">
                        <w:r w:rsidR="004B3129" w:rsidRPr="00A830E5">
                          <w:rPr>
                            <w:rStyle w:val="Hyperlink"/>
                          </w:rPr>
                          <w:t>Proposal template</w:t>
                        </w:r>
                      </w:hyperlink>
                    </w:p>
                    <w:p w14:paraId="1C72AE5F" w14:textId="77777777" w:rsidR="004B3129" w:rsidRDefault="00B81AEB" w:rsidP="004B3129">
                      <w:pPr>
                        <w:pStyle w:val="BodyText"/>
                        <w:spacing w:before="30" w:line="228" w:lineRule="auto"/>
                        <w:ind w:right="17"/>
                        <w:jc w:val="both"/>
                      </w:pPr>
                      <w:hyperlink r:id="rId25" w:history="1">
                        <w:r w:rsidR="004B3129" w:rsidRPr="006C0931">
                          <w:rPr>
                            <w:rStyle w:val="Hyperlink"/>
                          </w:rPr>
                          <w:t>Model Grant Agreement</w:t>
                        </w:r>
                      </w:hyperlink>
                    </w:p>
                    <w:p w14:paraId="76984528" w14:textId="77777777" w:rsidR="004B3129" w:rsidRDefault="00B81AEB" w:rsidP="004B3129">
                      <w:pPr>
                        <w:pStyle w:val="BodyText"/>
                        <w:spacing w:before="30" w:line="228" w:lineRule="auto"/>
                        <w:ind w:right="17"/>
                        <w:jc w:val="both"/>
                      </w:pPr>
                      <w:hyperlink r:id="rId26" w:anchor="bcl-inpage-item-3909" w:history="1">
                        <w:r w:rsidR="004B3129" w:rsidRPr="00967F7F">
                          <w:rPr>
                            <w:rStyle w:val="Hyperlink"/>
                          </w:rPr>
                          <w:t>Website</w:t>
                        </w:r>
                      </w:hyperlink>
                    </w:p>
                    <w:p w14:paraId="4AA1F6C8" w14:textId="77777777" w:rsidR="004B3129" w:rsidRDefault="004B3129" w:rsidP="004B3129">
                      <w:pPr>
                        <w:pStyle w:val="BodyText"/>
                        <w:spacing w:before="30" w:line="228" w:lineRule="auto"/>
                        <w:ind w:right="17"/>
                        <w:jc w:val="both"/>
                      </w:pPr>
                    </w:p>
                    <w:p w14:paraId="42853C2F" w14:textId="77777777" w:rsidR="004B3129" w:rsidRDefault="004B3129" w:rsidP="004B3129">
                      <w:pPr>
                        <w:pStyle w:val="BodyText"/>
                        <w:spacing w:before="30" w:line="228" w:lineRule="auto"/>
                        <w:ind w:left="0" w:right="17"/>
                        <w:jc w:val="both"/>
                      </w:pPr>
                    </w:p>
                    <w:p w14:paraId="0C62B5A3" w14:textId="77777777" w:rsidR="004B3129" w:rsidRDefault="004B3129" w:rsidP="004B3129">
                      <w:pPr>
                        <w:pStyle w:val="BodyText"/>
                        <w:spacing w:before="30" w:line="228" w:lineRule="auto"/>
                        <w:ind w:left="0" w:right="17"/>
                        <w:jc w:val="right"/>
                        <w:rPr>
                          <w:i/>
                          <w:iCs/>
                        </w:rPr>
                      </w:pPr>
                    </w:p>
                    <w:p w14:paraId="41DEEA88" w14:textId="77777777" w:rsidR="004B3129" w:rsidRDefault="004B3129" w:rsidP="004B3129">
                      <w:pPr>
                        <w:pStyle w:val="BodyText"/>
                        <w:spacing w:before="30" w:line="228" w:lineRule="auto"/>
                        <w:ind w:left="0" w:right="17"/>
                        <w:jc w:val="right"/>
                        <w:rPr>
                          <w:i/>
                          <w:iCs/>
                        </w:rPr>
                      </w:pPr>
                    </w:p>
                    <w:p w14:paraId="1FD845B7" w14:textId="77777777" w:rsidR="004B3129" w:rsidRDefault="004B3129" w:rsidP="004B3129">
                      <w:pPr>
                        <w:pStyle w:val="BodyText"/>
                        <w:spacing w:before="30" w:line="228" w:lineRule="auto"/>
                        <w:ind w:left="0" w:right="17"/>
                        <w:jc w:val="right"/>
                        <w:rPr>
                          <w:i/>
                          <w:iCs/>
                        </w:rPr>
                      </w:pPr>
                    </w:p>
                    <w:p w14:paraId="46F73CF2" w14:textId="77777777" w:rsidR="004B3129" w:rsidRDefault="004B3129" w:rsidP="004B3129">
                      <w:pPr>
                        <w:pStyle w:val="BodyText"/>
                        <w:spacing w:before="30" w:line="228" w:lineRule="auto"/>
                        <w:ind w:left="0" w:right="17"/>
                        <w:jc w:val="right"/>
                        <w:rPr>
                          <w:i/>
                          <w:iCs/>
                        </w:rPr>
                      </w:pPr>
                    </w:p>
                    <w:p w14:paraId="15E9E3FD" w14:textId="77777777" w:rsidR="004B3129" w:rsidRDefault="004B3129" w:rsidP="004B3129">
                      <w:pPr>
                        <w:pStyle w:val="BodyText"/>
                        <w:spacing w:before="30" w:line="228" w:lineRule="auto"/>
                        <w:ind w:left="0" w:right="17"/>
                        <w:jc w:val="right"/>
                        <w:rPr>
                          <w:i/>
                          <w:iCs/>
                        </w:rPr>
                      </w:pPr>
                    </w:p>
                    <w:p w14:paraId="48DC0CBE" w14:textId="77777777" w:rsidR="004B3129" w:rsidRPr="001E3F9A" w:rsidRDefault="004B3129" w:rsidP="004B3129">
                      <w:pPr>
                        <w:pStyle w:val="BodyText"/>
                        <w:spacing w:before="30" w:line="228" w:lineRule="auto"/>
                        <w:ind w:left="0" w:right="17"/>
                        <w:jc w:val="right"/>
                        <w:rPr>
                          <w:i/>
                          <w:iCs/>
                        </w:rPr>
                      </w:pPr>
                    </w:p>
                  </w:txbxContent>
                </v:textbox>
                <w10:wrap anchorx="margin" anchory="page"/>
              </v:shape>
            </w:pict>
          </mc:Fallback>
        </mc:AlternateContent>
      </w:r>
      <w:r>
        <w:rPr>
          <w:noProof/>
        </w:rPr>
        <mc:AlternateContent>
          <mc:Choice Requires="wps">
            <w:drawing>
              <wp:anchor distT="0" distB="0" distL="114300" distR="114300" simplePos="0" relativeHeight="251658245" behindDoc="1" locked="0" layoutInCell="1" allowOverlap="1" wp14:anchorId="78BB36DE" wp14:editId="234F1B2E">
                <wp:simplePos x="0" y="0"/>
                <wp:positionH relativeFrom="margin">
                  <wp:align>center</wp:align>
                </wp:positionH>
                <wp:positionV relativeFrom="page">
                  <wp:posOffset>3683423</wp:posOffset>
                </wp:positionV>
                <wp:extent cx="6553200" cy="5137150"/>
                <wp:effectExtent l="0" t="0" r="0" b="6350"/>
                <wp:wrapNone/>
                <wp:docPr id="238"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53200" cy="513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1B8D4" w14:textId="77777777" w:rsidR="004B3129" w:rsidRDefault="004B3129" w:rsidP="004B3129">
                            <w:pPr>
                              <w:pStyle w:val="BodyText"/>
                              <w:spacing w:before="30" w:line="228" w:lineRule="auto"/>
                              <w:ind w:right="17"/>
                              <w:jc w:val="both"/>
                              <w:rPr>
                                <w:rFonts w:ascii="Open Sans" w:hAnsi="Open Sans"/>
                                <w:b/>
                                <w:color w:val="231F20"/>
                              </w:rPr>
                            </w:pPr>
                            <w:r>
                              <w:rPr>
                                <w:rFonts w:ascii="Open Sans" w:hAnsi="Open Sans"/>
                                <w:b/>
                                <w:color w:val="231F20"/>
                              </w:rPr>
                              <w:t xml:space="preserve">Thematic scope: </w:t>
                            </w:r>
                          </w:p>
                          <w:p w14:paraId="3A7C74C2" w14:textId="77777777" w:rsidR="004B3129" w:rsidRDefault="004B3129" w:rsidP="004B3129">
                            <w:pPr>
                              <w:pStyle w:val="BodyText"/>
                              <w:numPr>
                                <w:ilvl w:val="0"/>
                                <w:numId w:val="2"/>
                              </w:numPr>
                              <w:spacing w:before="30" w:line="228" w:lineRule="auto"/>
                              <w:ind w:right="17"/>
                              <w:jc w:val="both"/>
                            </w:pPr>
                            <w:r w:rsidRPr="009B0E86">
                              <w:rPr>
                                <w:u w:val="single"/>
                              </w:rPr>
                              <w:t>Prevention:</w:t>
                            </w:r>
                            <w:r w:rsidRPr="00E234C1">
                              <w:t xml:space="preserve"> </w:t>
                            </w:r>
                            <w:r>
                              <w:t>Prevention shall be understood as any action aimed at reducing risks or mitigating adverse consequences of a disaster for people, the environment and property, including cultural heritage</w:t>
                            </w:r>
                          </w:p>
                          <w:p w14:paraId="539804DA" w14:textId="77777777" w:rsidR="004B3129" w:rsidRDefault="004B3129" w:rsidP="004B3129">
                            <w:pPr>
                              <w:pStyle w:val="BodyText"/>
                              <w:numPr>
                                <w:ilvl w:val="1"/>
                                <w:numId w:val="2"/>
                              </w:numPr>
                              <w:spacing w:before="30" w:line="228" w:lineRule="auto"/>
                              <w:ind w:right="17"/>
                              <w:jc w:val="both"/>
                            </w:pPr>
                            <w:r>
                              <w:t xml:space="preserve">Priorities: 1. </w:t>
                            </w:r>
                            <w:r w:rsidRPr="00D04DD9">
                              <w:t>Risk assessments, anticipation and risk management planning</w:t>
                            </w:r>
                            <w:r>
                              <w:t xml:space="preserve">, 2. </w:t>
                            </w:r>
                            <w:r w:rsidRPr="00FB4E7B">
                              <w:t>Risk awareness</w:t>
                            </w:r>
                            <w:r>
                              <w:t xml:space="preserve">, 3. </w:t>
                            </w:r>
                            <w:r w:rsidRPr="00F902DD">
                              <w:t>Early warning</w:t>
                            </w:r>
                            <w:r>
                              <w:t xml:space="preserve">, 4. </w:t>
                            </w:r>
                            <w:r w:rsidRPr="00F902DD">
                              <w:t>Wildfire risk management</w:t>
                            </w:r>
                            <w:r>
                              <w:t xml:space="preserve">.  </w:t>
                            </w:r>
                          </w:p>
                          <w:p w14:paraId="09FEF8E3" w14:textId="77777777" w:rsidR="004B3129" w:rsidRDefault="004B3129" w:rsidP="004B3129">
                            <w:pPr>
                              <w:pStyle w:val="BodyText"/>
                              <w:numPr>
                                <w:ilvl w:val="1"/>
                                <w:numId w:val="2"/>
                              </w:numPr>
                              <w:spacing w:before="30" w:line="228" w:lineRule="auto"/>
                              <w:ind w:right="17"/>
                              <w:jc w:val="both"/>
                            </w:pPr>
                            <w:r>
                              <w:t xml:space="preserve">Activities funded: 1. to assess and quantify risks and/or prepare management plans for risks with a multi-country or cross-border impact, 2. </w:t>
                            </w:r>
                            <w:r w:rsidRPr="00B40226">
                              <w:t>to enhance risk awareness and preparedness of the population</w:t>
                            </w:r>
                            <w:r>
                              <w:t>, 3. to build and improve forecasting, detection and monitoring capabilities, as well as public warning and alert systems, 4. to develop or improve wildfire data collection and analysis, wildfire risks assessment, wildfire risk management planning, wildfire risk governance, and wildfire early warning systems</w:t>
                            </w:r>
                          </w:p>
                          <w:p w14:paraId="159EE034" w14:textId="77777777" w:rsidR="004B3129" w:rsidRDefault="004B3129" w:rsidP="004B3129">
                            <w:pPr>
                              <w:pStyle w:val="BodyText"/>
                              <w:numPr>
                                <w:ilvl w:val="0"/>
                                <w:numId w:val="2"/>
                              </w:numPr>
                              <w:spacing w:before="30" w:line="228" w:lineRule="auto"/>
                              <w:ind w:right="17"/>
                              <w:jc w:val="both"/>
                            </w:pPr>
                            <w:r w:rsidRPr="00EF795E">
                              <w:rPr>
                                <w:highlight w:val="green"/>
                                <w:u w:val="single"/>
                              </w:rPr>
                              <w:t>Preparedness</w:t>
                            </w:r>
                            <w:r w:rsidRPr="004E2F2B">
                              <w:rPr>
                                <w:u w:val="single"/>
                              </w:rPr>
                              <w:t>:</w:t>
                            </w:r>
                            <w:r w:rsidRPr="004E2F2B">
                              <w:t xml:space="preserve"> </w:t>
                            </w:r>
                            <w:r>
                              <w:t>This topic aims to increase the overall preparedness of the UCPM and its stakeholders through activities that address ongoing and emerging issues of systemic relevance.</w:t>
                            </w:r>
                          </w:p>
                          <w:p w14:paraId="0B0BE62A" w14:textId="77777777" w:rsidR="004B3129" w:rsidRDefault="004B3129" w:rsidP="004B3129">
                            <w:pPr>
                              <w:pStyle w:val="BodyText"/>
                              <w:numPr>
                                <w:ilvl w:val="1"/>
                                <w:numId w:val="2"/>
                              </w:numPr>
                              <w:spacing w:before="30" w:line="228" w:lineRule="auto"/>
                              <w:ind w:right="17"/>
                              <w:jc w:val="both"/>
                            </w:pPr>
                            <w:r>
                              <w:t xml:space="preserve">Priorities: 1. </w:t>
                            </w:r>
                            <w:r w:rsidRPr="00E81622">
                              <w:t>Institutional preparedness</w:t>
                            </w:r>
                            <w:r>
                              <w:t xml:space="preserve">, 2. </w:t>
                            </w:r>
                            <w:r w:rsidRPr="00E81622">
                              <w:t>Individual capacity strengthening</w:t>
                            </w:r>
                          </w:p>
                          <w:p w14:paraId="6289805E" w14:textId="77777777" w:rsidR="004B3129" w:rsidRDefault="004B3129" w:rsidP="004B3129">
                            <w:pPr>
                              <w:pStyle w:val="BodyText"/>
                              <w:numPr>
                                <w:ilvl w:val="1"/>
                                <w:numId w:val="2"/>
                              </w:numPr>
                              <w:spacing w:before="30" w:line="228" w:lineRule="auto"/>
                              <w:ind w:right="17"/>
                              <w:jc w:val="both"/>
                            </w:pPr>
                            <w:r>
                              <w:t>Activities funded: 1. that strengthen the ability of institutions tasked with civil protection or DRM to effectively prepare for future disasters, 2. that improve the individual capacity to react during disasters.</w:t>
                            </w:r>
                          </w:p>
                          <w:p w14:paraId="500E8F4F" w14:textId="77777777" w:rsidR="004B3129" w:rsidRDefault="004B3129" w:rsidP="004B3129">
                            <w:pPr>
                              <w:pStyle w:val="BodyText"/>
                              <w:numPr>
                                <w:ilvl w:val="0"/>
                                <w:numId w:val="2"/>
                              </w:numPr>
                              <w:spacing w:before="30" w:line="228" w:lineRule="auto"/>
                              <w:ind w:right="17"/>
                              <w:jc w:val="both"/>
                            </w:pPr>
                            <w:r w:rsidRPr="00E234C1">
                              <w:rPr>
                                <w:u w:val="single"/>
                              </w:rPr>
                              <w:t>Full-scale exercises:</w:t>
                            </w:r>
                            <w:r>
                              <w:t xml:space="preserve"> The objective of this topic is to improve civil protection preparedness and response to all kinds of disasters inside the Member States by providing a testing environment and a learning opportunity for all actors involved in civil protection assistance interventions through a full-scale field exercise.</w:t>
                            </w:r>
                          </w:p>
                          <w:p w14:paraId="599C9886" w14:textId="77777777" w:rsidR="004B3129" w:rsidRDefault="004B3129" w:rsidP="004B3129">
                            <w:pPr>
                              <w:pStyle w:val="BodyText"/>
                              <w:spacing w:before="30" w:line="228" w:lineRule="auto"/>
                              <w:ind w:right="17"/>
                              <w:jc w:val="both"/>
                            </w:pPr>
                            <w:r>
                              <w:rPr>
                                <w:rFonts w:ascii="Open Sans" w:hAnsi="Open Sans"/>
                                <w:b/>
                                <w:color w:val="231F20"/>
                              </w:rPr>
                              <w:t>Eligible countries:</w:t>
                            </w:r>
                            <w:r>
                              <w:t xml:space="preserve"> </w:t>
                            </w:r>
                            <w:r w:rsidRPr="00712C4E">
                              <w:rPr>
                                <w:i/>
                                <w:iCs/>
                              </w:rPr>
                              <w:t>All EU Member States + Albania, Bosnia and Herzegovina, Iceland, Moldova, Montenegro, North Macedonia, Norway, Serbia, Türkiye and Ukraine</w:t>
                            </w:r>
                            <w:r>
                              <w:t xml:space="preserve"> + East (Armenia, Azerbaijan, Georgia) and South (Algeria, Egypt, Israel, Jordan, Lebanon, Libya, Morocco, Palestine and Tunisia) </w:t>
                            </w:r>
                            <w:r w:rsidRPr="00712C4E">
                              <w:t xml:space="preserve">+ </w:t>
                            </w:r>
                            <w:r w:rsidRPr="00712C4E">
                              <w:rPr>
                                <w:u w:val="single"/>
                              </w:rPr>
                              <w:t>International organisations are eligible, but cannot act as lead consortium partner.</w:t>
                            </w:r>
                            <w:r>
                              <w:t xml:space="preserve"> </w:t>
                            </w:r>
                          </w:p>
                          <w:p w14:paraId="679429D0" w14:textId="77777777" w:rsidR="004B3129" w:rsidRDefault="004B3129" w:rsidP="004B3129">
                            <w:pPr>
                              <w:pStyle w:val="BodyText"/>
                              <w:spacing w:before="30" w:line="228" w:lineRule="auto"/>
                              <w:ind w:right="17"/>
                              <w:jc w:val="both"/>
                            </w:pPr>
                            <w:r>
                              <w:rPr>
                                <w:rFonts w:ascii="Open Sans" w:hAnsi="Open Sans"/>
                                <w:b/>
                                <w:color w:val="231F20"/>
                              </w:rPr>
                              <w:t>Consortium:</w:t>
                            </w:r>
                            <w:r>
                              <w:t xml:space="preserve"> Proposals must be submitted by a consortium consisting of at least three beneficiaries from a minimum of three different eligible states. </w:t>
                            </w:r>
                            <w:r w:rsidRPr="00577317">
                              <w:t>The project coordinator must be an entity from a UCPM Member/Participating State</w:t>
                            </w:r>
                            <w:r>
                              <w:t xml:space="preserve"> (marked with </w:t>
                            </w:r>
                            <w:r w:rsidRPr="00712C4E">
                              <w:rPr>
                                <w:i/>
                                <w:iCs/>
                              </w:rPr>
                              <w:t>Italic</w:t>
                            </w:r>
                            <w:r>
                              <w:t xml:space="preserve"> above)</w:t>
                            </w:r>
                            <w:r w:rsidRPr="00577317">
                              <w:t>.</w:t>
                            </w:r>
                          </w:p>
                          <w:p w14:paraId="3A15084C" w14:textId="77777777" w:rsidR="004B3129" w:rsidRDefault="004B3129" w:rsidP="004B3129">
                            <w:pPr>
                              <w:pStyle w:val="BodyText"/>
                              <w:spacing w:before="30" w:line="228" w:lineRule="auto"/>
                              <w:ind w:right="17"/>
                              <w:jc w:val="both"/>
                            </w:pPr>
                            <w:r>
                              <w:rPr>
                                <w:rFonts w:ascii="Open Sans" w:hAnsi="Open Sans"/>
                                <w:b/>
                                <w:color w:val="231F20"/>
                              </w:rPr>
                              <w:t xml:space="preserve">Call budget: </w:t>
                            </w:r>
                            <w:r>
                              <w:t>14,</w:t>
                            </w:r>
                            <w:r w:rsidRPr="000335C0">
                              <w:t>000</w:t>
                            </w:r>
                            <w:r>
                              <w:t>,</w:t>
                            </w:r>
                            <w:r w:rsidRPr="000335C0">
                              <w:t>000 EUR for the call</w:t>
                            </w:r>
                            <w:r>
                              <w:t xml:space="preserve"> (Prevention: 4.8M, </w:t>
                            </w:r>
                            <w:r w:rsidRPr="00EF795E">
                              <w:rPr>
                                <w:highlight w:val="green"/>
                              </w:rPr>
                              <w:t>Preparedness: 3M</w:t>
                            </w:r>
                            <w:r>
                              <w:t>, Full-scale exercise: 4M)</w:t>
                            </w:r>
                          </w:p>
                          <w:p w14:paraId="53EC2F7D" w14:textId="77777777" w:rsidR="004B3129" w:rsidRDefault="004B3129" w:rsidP="004B3129">
                            <w:pPr>
                              <w:pStyle w:val="BodyText"/>
                              <w:spacing w:before="30" w:line="228" w:lineRule="auto"/>
                              <w:ind w:right="17"/>
                              <w:jc w:val="both"/>
                            </w:pPr>
                            <w:r>
                              <w:rPr>
                                <w:rFonts w:ascii="Open Sans" w:hAnsi="Open Sans"/>
                                <w:b/>
                                <w:color w:val="231F20"/>
                              </w:rPr>
                              <w:t>Project budget:</w:t>
                            </w:r>
                            <w:r>
                              <w:t xml:space="preserve"> max. 1M EUR contribution</w:t>
                            </w:r>
                          </w:p>
                          <w:p w14:paraId="26E6AD1F" w14:textId="77777777" w:rsidR="004B3129" w:rsidRDefault="004B3129" w:rsidP="004B3129">
                            <w:pPr>
                              <w:pStyle w:val="BodyText"/>
                              <w:spacing w:before="30" w:line="228" w:lineRule="auto"/>
                              <w:ind w:right="17"/>
                              <w:jc w:val="both"/>
                            </w:pPr>
                            <w:r>
                              <w:rPr>
                                <w:rFonts w:ascii="Open Sans" w:hAnsi="Open Sans"/>
                                <w:b/>
                                <w:color w:val="231F20"/>
                              </w:rPr>
                              <w:t xml:space="preserve">Funding rate: </w:t>
                            </w:r>
                            <w:r w:rsidRPr="003A18D1">
                              <w:t>90%</w:t>
                            </w:r>
                          </w:p>
                          <w:p w14:paraId="7A8C4883" w14:textId="77777777" w:rsidR="004B3129" w:rsidRDefault="004B3129" w:rsidP="004B3129">
                            <w:pPr>
                              <w:pStyle w:val="BodyText"/>
                              <w:spacing w:before="30" w:line="228" w:lineRule="auto"/>
                              <w:ind w:right="17"/>
                              <w:jc w:val="both"/>
                            </w:pPr>
                            <w:r>
                              <w:rPr>
                                <w:rFonts w:ascii="Open Sans" w:hAnsi="Open Sans"/>
                                <w:b/>
                                <w:color w:val="231F20"/>
                              </w:rPr>
                              <w:t xml:space="preserve">Timeframe of the projects and expected project start: </w:t>
                            </w:r>
                            <w:r>
                              <w:t xml:space="preserve">max. 24 </w:t>
                            </w:r>
                            <w:r w:rsidRPr="00E64D44">
                              <w:t>months</w:t>
                            </w:r>
                            <w:r>
                              <w:t>, starting from January 2025</w:t>
                            </w:r>
                          </w:p>
                          <w:p w14:paraId="72C6CA04" w14:textId="77777777" w:rsidR="004B3129" w:rsidRDefault="004B3129" w:rsidP="004B3129">
                            <w:pPr>
                              <w:pStyle w:val="BodyText"/>
                              <w:spacing w:before="30" w:line="228" w:lineRule="auto"/>
                              <w:ind w:right="17"/>
                              <w:jc w:val="both"/>
                            </w:pPr>
                            <w:r>
                              <w:rPr>
                                <w:rFonts w:ascii="Open Sans" w:hAnsi="Open Sans"/>
                                <w:b/>
                                <w:color w:val="231F20"/>
                              </w:rPr>
                              <w:t xml:space="preserve">Points of attention: </w:t>
                            </w:r>
                            <w:r w:rsidRPr="0089150B">
                              <w:t>Mandatory annex - Letter of support from the competent national civil protection authority of each country participating in the consortium that will benefit directly from the action’s results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B36DE" id="Text Box 239" o:spid="_x0000_s1027" type="#_x0000_t202" style="position:absolute;margin-left:0;margin-top:290.05pt;width:516pt;height:404.5pt;z-index:-251658235;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" filled="f" stroked="f">
                <v:path arrowok="t"/>
                <v:textbox inset="0,0,0,0">
                  <w:txbxContent>
                    <w:p w14:paraId="3CE1B8D4" w14:textId="77777777" w:rsidR="004B3129" w:rsidRDefault="004B3129" w:rsidP="004B3129">
                      <w:pPr>
                        <w:pStyle w:val="BodyText"/>
                        <w:spacing w:before="30" w:line="228" w:lineRule="auto"/>
                        <w:ind w:right="17"/>
                        <w:jc w:val="both"/>
                        <w:rPr>
                          <w:rFonts w:ascii="Open Sans" w:hAnsi="Open Sans"/>
                          <w:b/>
                          <w:color w:val="231F20"/>
                        </w:rPr>
                      </w:pPr>
                      <w:r>
                        <w:rPr>
                          <w:rFonts w:ascii="Open Sans" w:hAnsi="Open Sans"/>
                          <w:b/>
                          <w:color w:val="231F20"/>
                        </w:rPr>
                        <w:t xml:space="preserve">Thematic scope: </w:t>
                      </w:r>
                    </w:p>
                    <w:p w14:paraId="3A7C74C2" w14:textId="77777777" w:rsidR="004B3129" w:rsidRDefault="004B3129" w:rsidP="004B3129">
                      <w:pPr>
                        <w:pStyle w:val="BodyText"/>
                        <w:numPr>
                          <w:ilvl w:val="0"/>
                          <w:numId w:val="2"/>
                        </w:numPr>
                        <w:spacing w:before="30" w:line="228" w:lineRule="auto"/>
                        <w:ind w:right="17"/>
                        <w:jc w:val="both"/>
                      </w:pPr>
                      <w:r w:rsidRPr="009B0E86">
                        <w:rPr>
                          <w:u w:val="single"/>
                        </w:rPr>
                        <w:t>Prevention:</w:t>
                      </w:r>
                      <w:r w:rsidRPr="00E234C1">
                        <w:t xml:space="preserve"> </w:t>
                      </w:r>
                      <w:r>
                        <w:t>Prevention shall be understood as any action aimed at reducing risks or mitigating adverse consequences of a disaster for people, the environment and property, including cultural heritage</w:t>
                      </w:r>
                    </w:p>
                    <w:p w14:paraId="539804DA" w14:textId="77777777" w:rsidR="004B3129" w:rsidRDefault="004B3129" w:rsidP="004B3129">
                      <w:pPr>
                        <w:pStyle w:val="BodyText"/>
                        <w:numPr>
                          <w:ilvl w:val="1"/>
                          <w:numId w:val="2"/>
                        </w:numPr>
                        <w:spacing w:before="30" w:line="228" w:lineRule="auto"/>
                        <w:ind w:right="17"/>
                        <w:jc w:val="both"/>
                      </w:pPr>
                      <w:r>
                        <w:t xml:space="preserve">Priorities: 1. </w:t>
                      </w:r>
                      <w:r w:rsidRPr="00D04DD9">
                        <w:t>Risk assessments, anticipation and risk management planning</w:t>
                      </w:r>
                      <w:r>
                        <w:t xml:space="preserve">, 2. </w:t>
                      </w:r>
                      <w:r w:rsidRPr="00FB4E7B">
                        <w:t>Risk awareness</w:t>
                      </w:r>
                      <w:r>
                        <w:t xml:space="preserve">, 3. </w:t>
                      </w:r>
                      <w:r w:rsidRPr="00F902DD">
                        <w:t>Early warning</w:t>
                      </w:r>
                      <w:r>
                        <w:t xml:space="preserve">, 4. </w:t>
                      </w:r>
                      <w:r w:rsidRPr="00F902DD">
                        <w:t>Wildfire risk management</w:t>
                      </w:r>
                      <w:r>
                        <w:t xml:space="preserve">.  </w:t>
                      </w:r>
                    </w:p>
                    <w:p w14:paraId="09FEF8E3" w14:textId="77777777" w:rsidR="004B3129" w:rsidRDefault="004B3129" w:rsidP="004B3129">
                      <w:pPr>
                        <w:pStyle w:val="BodyText"/>
                        <w:numPr>
                          <w:ilvl w:val="1"/>
                          <w:numId w:val="2"/>
                        </w:numPr>
                        <w:spacing w:before="30" w:line="228" w:lineRule="auto"/>
                        <w:ind w:right="17"/>
                        <w:jc w:val="both"/>
                      </w:pPr>
                      <w:r>
                        <w:t xml:space="preserve">Activities funded: 1. to assess and quantify risks and/or prepare management plans for risks with a multi-country or cross-border impact, 2. </w:t>
                      </w:r>
                      <w:r w:rsidRPr="00B40226">
                        <w:t>to enhance risk awareness and preparedness of the population</w:t>
                      </w:r>
                      <w:r>
                        <w:t>, 3. to build and improve forecasting, detection and monitoring capabilities, as well as public warning and alert systems, 4. to develop or improve wildfire data collection and analysis, wildfire risks assessment, wildfire risk management planning, wildfire risk governance, and wildfire early warning systems</w:t>
                      </w:r>
                    </w:p>
                    <w:p w14:paraId="159EE034" w14:textId="77777777" w:rsidR="004B3129" w:rsidRDefault="004B3129" w:rsidP="004B3129">
                      <w:pPr>
                        <w:pStyle w:val="BodyText"/>
                        <w:numPr>
                          <w:ilvl w:val="0"/>
                          <w:numId w:val="2"/>
                        </w:numPr>
                        <w:spacing w:before="30" w:line="228" w:lineRule="auto"/>
                        <w:ind w:right="17"/>
                        <w:jc w:val="both"/>
                      </w:pPr>
                      <w:r w:rsidRPr="00EF795E">
                        <w:rPr>
                          <w:highlight w:val="green"/>
                          <w:u w:val="single"/>
                        </w:rPr>
                        <w:t>Preparedness</w:t>
                      </w:r>
                      <w:r w:rsidRPr="004E2F2B">
                        <w:rPr>
                          <w:u w:val="single"/>
                        </w:rPr>
                        <w:t>:</w:t>
                      </w:r>
                      <w:r w:rsidRPr="004E2F2B">
                        <w:t xml:space="preserve"> </w:t>
                      </w:r>
                      <w:r>
                        <w:t>This topic aims to increase the overall preparedness of the UCPM and its stakeholders through activities that address ongoing and emerging issues of systemic relevance.</w:t>
                      </w:r>
                    </w:p>
                    <w:p w14:paraId="0B0BE62A" w14:textId="77777777" w:rsidR="004B3129" w:rsidRDefault="004B3129" w:rsidP="004B3129">
                      <w:pPr>
                        <w:pStyle w:val="BodyText"/>
                        <w:numPr>
                          <w:ilvl w:val="1"/>
                          <w:numId w:val="2"/>
                        </w:numPr>
                        <w:spacing w:before="30" w:line="228" w:lineRule="auto"/>
                        <w:ind w:right="17"/>
                        <w:jc w:val="both"/>
                      </w:pPr>
                      <w:r>
                        <w:t xml:space="preserve">Priorities: 1. </w:t>
                      </w:r>
                      <w:r w:rsidRPr="00E81622">
                        <w:t>Institutional preparedness</w:t>
                      </w:r>
                      <w:r>
                        <w:t xml:space="preserve">, 2. </w:t>
                      </w:r>
                      <w:r w:rsidRPr="00E81622">
                        <w:t>Individual capacity strengthening</w:t>
                      </w:r>
                    </w:p>
                    <w:p w14:paraId="6289805E" w14:textId="77777777" w:rsidR="004B3129" w:rsidRDefault="004B3129" w:rsidP="004B3129">
                      <w:pPr>
                        <w:pStyle w:val="BodyText"/>
                        <w:numPr>
                          <w:ilvl w:val="1"/>
                          <w:numId w:val="2"/>
                        </w:numPr>
                        <w:spacing w:before="30" w:line="228" w:lineRule="auto"/>
                        <w:ind w:right="17"/>
                        <w:jc w:val="both"/>
                      </w:pPr>
                      <w:r>
                        <w:t>Activities funded: 1. that strengthen the ability of institutions tasked with civil protection or DRM to effectively prepare for future disasters, 2. that improve the individual capacity to react during disasters.</w:t>
                      </w:r>
                    </w:p>
                    <w:p w14:paraId="500E8F4F" w14:textId="77777777" w:rsidR="004B3129" w:rsidRDefault="004B3129" w:rsidP="004B3129">
                      <w:pPr>
                        <w:pStyle w:val="BodyText"/>
                        <w:numPr>
                          <w:ilvl w:val="0"/>
                          <w:numId w:val="2"/>
                        </w:numPr>
                        <w:spacing w:before="30" w:line="228" w:lineRule="auto"/>
                        <w:ind w:right="17"/>
                        <w:jc w:val="both"/>
                      </w:pPr>
                      <w:r w:rsidRPr="00E234C1">
                        <w:rPr>
                          <w:u w:val="single"/>
                        </w:rPr>
                        <w:t>Full-scale exercises:</w:t>
                      </w:r>
                      <w:r>
                        <w:t xml:space="preserve"> The objective of this topic is to improve civil protection preparedness and response to all kinds of disasters inside the Member States by providing a testing environment and a learning opportunity for all actors involved in civil protection assistance interventions through a full-scale field exercise.</w:t>
                      </w:r>
                    </w:p>
                    <w:p w14:paraId="599C9886" w14:textId="77777777" w:rsidR="004B3129" w:rsidRDefault="004B3129" w:rsidP="004B3129">
                      <w:pPr>
                        <w:pStyle w:val="BodyText"/>
                        <w:spacing w:before="30" w:line="228" w:lineRule="auto"/>
                        <w:ind w:right="17"/>
                        <w:jc w:val="both"/>
                      </w:pPr>
                      <w:r>
                        <w:rPr>
                          <w:rFonts w:ascii="Open Sans" w:hAnsi="Open Sans"/>
                          <w:b/>
                          <w:color w:val="231F20"/>
                        </w:rPr>
                        <w:t>Eligible countries:</w:t>
                      </w:r>
                      <w:r>
                        <w:t xml:space="preserve"> </w:t>
                      </w:r>
                      <w:r w:rsidRPr="00712C4E">
                        <w:rPr>
                          <w:i/>
                          <w:iCs/>
                        </w:rPr>
                        <w:t>All EU Member States + Albania, Bosnia and Herzegovina, Iceland, Moldova, Montenegro, North Macedonia, Norway, Serbia, Türkiye and Ukraine</w:t>
                      </w:r>
                      <w:r>
                        <w:t xml:space="preserve"> + East (Armenia, Azerbaijan, Georgia) and South (Algeria, Egypt, Israel, Jordan, Lebanon, Libya, Morocco, Palestine and Tunisia) </w:t>
                      </w:r>
                      <w:r w:rsidRPr="00712C4E">
                        <w:t xml:space="preserve">+ </w:t>
                      </w:r>
                      <w:r w:rsidRPr="00712C4E">
                        <w:rPr>
                          <w:u w:val="single"/>
                        </w:rPr>
                        <w:t>International organisations are eligible, but cannot act as lead consortium partner.</w:t>
                      </w:r>
                      <w:r>
                        <w:t xml:space="preserve"> </w:t>
                      </w:r>
                    </w:p>
                    <w:p w14:paraId="679429D0" w14:textId="77777777" w:rsidR="004B3129" w:rsidRDefault="004B3129" w:rsidP="004B3129">
                      <w:pPr>
                        <w:pStyle w:val="BodyText"/>
                        <w:spacing w:before="30" w:line="228" w:lineRule="auto"/>
                        <w:ind w:right="17"/>
                        <w:jc w:val="both"/>
                      </w:pPr>
                      <w:r>
                        <w:rPr>
                          <w:rFonts w:ascii="Open Sans" w:hAnsi="Open Sans"/>
                          <w:b/>
                          <w:color w:val="231F20"/>
                        </w:rPr>
                        <w:t>Consortium:</w:t>
                      </w:r>
                      <w:r>
                        <w:t xml:space="preserve"> Proposals must be submitted by a consortium consisting of at least three beneficiaries from a minimum of three different eligible states. </w:t>
                      </w:r>
                      <w:r w:rsidRPr="00577317">
                        <w:t>The project coordinator must be an entity from a UCPM Member/Participating State</w:t>
                      </w:r>
                      <w:r>
                        <w:t xml:space="preserve"> (marked with </w:t>
                      </w:r>
                      <w:r w:rsidRPr="00712C4E">
                        <w:rPr>
                          <w:i/>
                          <w:iCs/>
                        </w:rPr>
                        <w:t>Italic</w:t>
                      </w:r>
                      <w:r>
                        <w:t xml:space="preserve"> above)</w:t>
                      </w:r>
                      <w:r w:rsidRPr="00577317">
                        <w:t>.</w:t>
                      </w:r>
                    </w:p>
                    <w:p w14:paraId="3A15084C" w14:textId="77777777" w:rsidR="004B3129" w:rsidRDefault="004B3129" w:rsidP="004B3129">
                      <w:pPr>
                        <w:pStyle w:val="BodyText"/>
                        <w:spacing w:before="30" w:line="228" w:lineRule="auto"/>
                        <w:ind w:right="17"/>
                        <w:jc w:val="both"/>
                      </w:pPr>
                      <w:r>
                        <w:rPr>
                          <w:rFonts w:ascii="Open Sans" w:hAnsi="Open Sans"/>
                          <w:b/>
                          <w:color w:val="231F20"/>
                        </w:rPr>
                        <w:t xml:space="preserve">Call budget: </w:t>
                      </w:r>
                      <w:r>
                        <w:t>14,</w:t>
                      </w:r>
                      <w:r w:rsidRPr="000335C0">
                        <w:t>000</w:t>
                      </w:r>
                      <w:r>
                        <w:t>,</w:t>
                      </w:r>
                      <w:r w:rsidRPr="000335C0">
                        <w:t>000 EUR for the call</w:t>
                      </w:r>
                      <w:r>
                        <w:t xml:space="preserve"> (Prevention: 4.8M, </w:t>
                      </w:r>
                      <w:r w:rsidRPr="00EF795E">
                        <w:rPr>
                          <w:highlight w:val="green"/>
                        </w:rPr>
                        <w:t>Preparedness: 3M</w:t>
                      </w:r>
                      <w:r>
                        <w:t>, Full-scale exercise: 4M)</w:t>
                      </w:r>
                    </w:p>
                    <w:p w14:paraId="53EC2F7D" w14:textId="77777777" w:rsidR="004B3129" w:rsidRDefault="004B3129" w:rsidP="004B3129">
                      <w:pPr>
                        <w:pStyle w:val="BodyText"/>
                        <w:spacing w:before="30" w:line="228" w:lineRule="auto"/>
                        <w:ind w:right="17"/>
                        <w:jc w:val="both"/>
                      </w:pPr>
                      <w:r>
                        <w:rPr>
                          <w:rFonts w:ascii="Open Sans" w:hAnsi="Open Sans"/>
                          <w:b/>
                          <w:color w:val="231F20"/>
                        </w:rPr>
                        <w:t>Project budget:</w:t>
                      </w:r>
                      <w:r>
                        <w:t xml:space="preserve"> max. 1M EUR contribution</w:t>
                      </w:r>
                    </w:p>
                    <w:p w14:paraId="26E6AD1F" w14:textId="77777777" w:rsidR="004B3129" w:rsidRDefault="004B3129" w:rsidP="004B3129">
                      <w:pPr>
                        <w:pStyle w:val="BodyText"/>
                        <w:spacing w:before="30" w:line="228" w:lineRule="auto"/>
                        <w:ind w:right="17"/>
                        <w:jc w:val="both"/>
                      </w:pPr>
                      <w:r>
                        <w:rPr>
                          <w:rFonts w:ascii="Open Sans" w:hAnsi="Open Sans"/>
                          <w:b/>
                          <w:color w:val="231F20"/>
                        </w:rPr>
                        <w:t xml:space="preserve">Funding rate: </w:t>
                      </w:r>
                      <w:r w:rsidRPr="003A18D1">
                        <w:t>90%</w:t>
                      </w:r>
                    </w:p>
                    <w:p w14:paraId="7A8C4883" w14:textId="77777777" w:rsidR="004B3129" w:rsidRDefault="004B3129" w:rsidP="004B3129">
                      <w:pPr>
                        <w:pStyle w:val="BodyText"/>
                        <w:spacing w:before="30" w:line="228" w:lineRule="auto"/>
                        <w:ind w:right="17"/>
                        <w:jc w:val="both"/>
                      </w:pPr>
                      <w:r>
                        <w:rPr>
                          <w:rFonts w:ascii="Open Sans" w:hAnsi="Open Sans"/>
                          <w:b/>
                          <w:color w:val="231F20"/>
                        </w:rPr>
                        <w:t xml:space="preserve">Timeframe of the projects and expected project start: </w:t>
                      </w:r>
                      <w:r>
                        <w:t xml:space="preserve">max. 24 </w:t>
                      </w:r>
                      <w:r w:rsidRPr="00E64D44">
                        <w:t>months</w:t>
                      </w:r>
                      <w:r>
                        <w:t>, starting from January 2025</w:t>
                      </w:r>
                    </w:p>
                    <w:p w14:paraId="72C6CA04" w14:textId="77777777" w:rsidR="004B3129" w:rsidRDefault="004B3129" w:rsidP="004B3129">
                      <w:pPr>
                        <w:pStyle w:val="BodyText"/>
                        <w:spacing w:before="30" w:line="228" w:lineRule="auto"/>
                        <w:ind w:right="17"/>
                        <w:jc w:val="both"/>
                      </w:pPr>
                      <w:r>
                        <w:rPr>
                          <w:rFonts w:ascii="Open Sans" w:hAnsi="Open Sans"/>
                          <w:b/>
                          <w:color w:val="231F20"/>
                        </w:rPr>
                        <w:t xml:space="preserve">Points of attention: </w:t>
                      </w:r>
                      <w:r w:rsidRPr="0089150B">
                        <w:t>Mandatory annex - Letter of support from the competent national civil protection authority of each country participating in the consortium that will benefit directly from the action’s results</w:t>
                      </w:r>
                    </w:p>
                  </w:txbxContent>
                </v:textbox>
                <w10:wrap anchorx="margin" anchory="page"/>
              </v:shape>
            </w:pict>
          </mc:Fallback>
        </mc:AlternateContent>
      </w:r>
      <w:r w:rsidRPr="00AE4E55">
        <w:rPr>
          <w:noProof/>
        </w:rPr>
        <w:drawing>
          <wp:anchor distT="0" distB="0" distL="114300" distR="114300" simplePos="0" relativeHeight="251658249" behindDoc="0" locked="0" layoutInCell="1" allowOverlap="1" wp14:anchorId="68DDFEF6" wp14:editId="17FADB2F">
            <wp:simplePos x="0" y="0"/>
            <wp:positionH relativeFrom="margin">
              <wp:posOffset>-152400</wp:posOffset>
            </wp:positionH>
            <wp:positionV relativeFrom="paragraph">
              <wp:posOffset>-46144</wp:posOffset>
            </wp:positionV>
            <wp:extent cx="1162050" cy="985216"/>
            <wp:effectExtent l="0" t="0" r="0" b="5715"/>
            <wp:wrapNone/>
            <wp:docPr id="1" name="Picture 1" descr="A red cross and crescent m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cross and crescent moon&#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1162050" cy="98521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1" locked="0" layoutInCell="1" allowOverlap="1" wp14:anchorId="36F2FED8" wp14:editId="3958DE05">
                <wp:simplePos x="0" y="0"/>
                <wp:positionH relativeFrom="page">
                  <wp:posOffset>1151467</wp:posOffset>
                </wp:positionH>
                <wp:positionV relativeFrom="page">
                  <wp:posOffset>753321</wp:posOffset>
                </wp:positionV>
                <wp:extent cx="5473700" cy="1155700"/>
                <wp:effectExtent l="0" t="0" r="12700" b="6350"/>
                <wp:wrapNone/>
                <wp:docPr id="245"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73700" cy="115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542BE" w14:textId="77777777" w:rsidR="004B3129" w:rsidRDefault="004B3129" w:rsidP="004B3129">
                            <w:pPr>
                              <w:spacing w:before="115" w:line="199" w:lineRule="auto"/>
                              <w:jc w:val="center"/>
                              <w:rPr>
                                <w:rFonts w:ascii="Montserrat"/>
                                <w:b/>
                                <w:color w:val="EF3741"/>
                                <w:sz w:val="54"/>
                              </w:rPr>
                            </w:pPr>
                            <w:r w:rsidRPr="00A903DC">
                              <w:rPr>
                                <w:rFonts w:ascii="Montserrat"/>
                                <w:b/>
                                <w:color w:val="EF3741"/>
                                <w:sz w:val="54"/>
                              </w:rPr>
                              <w:t>UCPM-2024-KAPP</w:t>
                            </w:r>
                          </w:p>
                          <w:p w14:paraId="24949122" w14:textId="3B94CAC8" w:rsidR="004B3129" w:rsidRDefault="004B3129" w:rsidP="008C76FB">
                            <w:pPr>
                              <w:spacing w:before="115" w:line="199" w:lineRule="auto"/>
                              <w:jc w:val="center"/>
                              <w:rPr>
                                <w:rFonts w:ascii="Montserrat"/>
                                <w:b/>
                              </w:rPr>
                            </w:pPr>
                            <w:r>
                              <w:rPr>
                                <w:rFonts w:ascii="Montserrat"/>
                                <w:b/>
                              </w:rPr>
                              <w:t>One-pager</w:t>
                            </w:r>
                          </w:p>
                          <w:p w14:paraId="729083C4" w14:textId="77777777" w:rsidR="004B3129" w:rsidRPr="00BA42DA" w:rsidRDefault="004B3129" w:rsidP="004B3129">
                            <w:pPr>
                              <w:spacing w:before="115" w:line="199" w:lineRule="auto"/>
                              <w:jc w:val="right"/>
                              <w:rPr>
                                <w:rFonts w:ascii="Montserrat"/>
                                <w:bCs/>
                                <w:i/>
                                <w:iCs/>
                              </w:rPr>
                            </w:pPr>
                            <w:r w:rsidRPr="00BA42DA">
                              <w:rPr>
                                <w:rFonts w:ascii="Montserrat"/>
                                <w:bCs/>
                                <w:i/>
                                <w:iCs/>
                              </w:rPr>
                              <w:t xml:space="preserve">Prepared on </w:t>
                            </w:r>
                            <w:r>
                              <w:rPr>
                                <w:rFonts w:ascii="Montserrat"/>
                                <w:bCs/>
                                <w:i/>
                                <w:iCs/>
                              </w:rPr>
                              <w:t>6 February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2FED8" id="Text Box 246" o:spid="_x0000_s1028" type="#_x0000_t202" style="position:absolute;margin-left:90.65pt;margin-top:59.3pt;width:431pt;height:9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" filled="f" stroked="f">
                <v:path arrowok="t"/>
                <v:textbox inset="0,0,0,0">
                  <w:txbxContent>
                    <w:p w14:paraId="5F5542BE" w14:textId="77777777" w:rsidR="004B3129" w:rsidRDefault="004B3129" w:rsidP="004B3129">
                      <w:pPr>
                        <w:spacing w:before="115" w:line="199" w:lineRule="auto"/>
                        <w:jc w:val="center"/>
                        <w:rPr>
                          <w:rFonts w:ascii="Montserrat"/>
                          <w:b/>
                          <w:color w:val="EF3741"/>
                          <w:sz w:val="54"/>
                        </w:rPr>
                      </w:pPr>
                      <w:r w:rsidRPr="00A903DC">
                        <w:rPr>
                          <w:rFonts w:ascii="Montserrat"/>
                          <w:b/>
                          <w:color w:val="EF3741"/>
                          <w:sz w:val="54"/>
                        </w:rPr>
                        <w:t>UCPM-2024-KAPP</w:t>
                      </w:r>
                    </w:p>
                    <w:p w14:paraId="24949122" w14:textId="3B94CAC8" w:rsidR="004B3129" w:rsidRDefault="004B3129" w:rsidP="008C76FB">
                      <w:pPr>
                        <w:spacing w:before="115" w:line="199" w:lineRule="auto"/>
                        <w:jc w:val="center"/>
                        <w:rPr>
                          <w:rFonts w:ascii="Montserrat"/>
                          <w:b/>
                        </w:rPr>
                      </w:pPr>
                      <w:r>
                        <w:rPr>
                          <w:rFonts w:ascii="Montserrat"/>
                          <w:b/>
                        </w:rPr>
                        <w:t>One-pager</w:t>
                      </w:r>
                    </w:p>
                    <w:p w14:paraId="729083C4" w14:textId="77777777" w:rsidR="004B3129" w:rsidRPr="00BA42DA" w:rsidRDefault="004B3129" w:rsidP="004B3129">
                      <w:pPr>
                        <w:spacing w:before="115" w:line="199" w:lineRule="auto"/>
                        <w:jc w:val="right"/>
                        <w:rPr>
                          <w:rFonts w:ascii="Montserrat"/>
                          <w:bCs/>
                          <w:i/>
                          <w:iCs/>
                        </w:rPr>
                      </w:pPr>
                      <w:r w:rsidRPr="00BA42DA">
                        <w:rPr>
                          <w:rFonts w:ascii="Montserrat"/>
                          <w:bCs/>
                          <w:i/>
                          <w:iCs/>
                        </w:rPr>
                        <w:t xml:space="preserve">Prepared on </w:t>
                      </w:r>
                      <w:r>
                        <w:rPr>
                          <w:rFonts w:ascii="Montserrat"/>
                          <w:bCs/>
                          <w:i/>
                          <w:iCs/>
                        </w:rPr>
                        <w:t>6 February 2024</w:t>
                      </w:r>
                    </w:p>
                  </w:txbxContent>
                </v:textbox>
                <w10:wrap anchorx="page" anchory="page"/>
              </v:shape>
            </w:pict>
          </mc:Fallback>
        </mc:AlternateContent>
      </w:r>
      <w:r w:rsidR="004B3129">
        <w:rPr>
          <w:noProof/>
        </w:rPr>
        <mc:AlternateContent>
          <mc:Choice Requires="wps">
            <w:drawing>
              <wp:anchor distT="0" distB="0" distL="114300" distR="114300" simplePos="0" relativeHeight="251658247" behindDoc="1" locked="0" layoutInCell="1" allowOverlap="1" wp14:anchorId="23C1FEE8" wp14:editId="40C7006F">
                <wp:simplePos x="0" y="0"/>
                <wp:positionH relativeFrom="margin">
                  <wp:posOffset>-32385</wp:posOffset>
                </wp:positionH>
                <wp:positionV relativeFrom="page">
                  <wp:posOffset>8837930</wp:posOffset>
                </wp:positionV>
                <wp:extent cx="6791325" cy="251460"/>
                <wp:effectExtent l="0" t="0" r="9525" b="15240"/>
                <wp:wrapNone/>
                <wp:docPr id="234"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9132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32A0B" w14:textId="77777777" w:rsidR="004B3129" w:rsidRDefault="004B3129" w:rsidP="004B3129">
                            <w:pPr>
                              <w:pStyle w:val="Headlinebluecaps"/>
                            </w:pPr>
                            <w:r>
                              <w:t>more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1FEE8" id="Text Box 235" o:spid="_x0000_s1029" type="#_x0000_t202" style="position:absolute;margin-left:-2.55pt;margin-top:695.9pt;width:534.75pt;height:19.8pt;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" filled="f" stroked="f">
                <v:path arrowok="t"/>
                <v:textbox inset="0,0,0,0">
                  <w:txbxContent>
                    <w:p w14:paraId="24C32A0B" w14:textId="77777777" w:rsidR="004B3129" w:rsidRDefault="004B3129" w:rsidP="004B3129">
                      <w:pPr>
                        <w:pStyle w:val="Headlinebluecaps"/>
                      </w:pPr>
                      <w:r>
                        <w:t>more details:</w:t>
                      </w:r>
                    </w:p>
                  </w:txbxContent>
                </v:textbox>
                <w10:wrap anchorx="margin" anchory="page"/>
              </v:shape>
            </w:pict>
          </mc:Fallback>
        </mc:AlternateContent>
      </w:r>
      <w:r w:rsidR="004B3129">
        <w:rPr>
          <w:noProof/>
        </w:rPr>
        <mc:AlternateContent>
          <mc:Choice Requires="wps">
            <w:drawing>
              <wp:anchor distT="0" distB="0" distL="114300" distR="114300" simplePos="0" relativeHeight="251658243" behindDoc="1" locked="0" layoutInCell="1" allowOverlap="1" wp14:anchorId="23F5821F" wp14:editId="1C8D9F8D">
                <wp:simplePos x="0" y="0"/>
                <wp:positionH relativeFrom="margin">
                  <wp:posOffset>-285750</wp:posOffset>
                </wp:positionH>
                <wp:positionV relativeFrom="page">
                  <wp:posOffset>2063750</wp:posOffset>
                </wp:positionV>
                <wp:extent cx="6953250" cy="1644650"/>
                <wp:effectExtent l="0" t="0" r="0" b="12700"/>
                <wp:wrapNone/>
                <wp:docPr id="243"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53250" cy="164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0E22E" w14:textId="77777777" w:rsidR="004B3129" w:rsidRDefault="004B3129" w:rsidP="004B3129">
                            <w:pPr>
                              <w:spacing w:before="36" w:line="223" w:lineRule="auto"/>
                              <w:ind w:left="20" w:right="17"/>
                              <w:rPr>
                                <w:rFonts w:ascii="Open Sans"/>
                                <w:b/>
                                <w:color w:val="FFFFFF"/>
                              </w:rPr>
                            </w:pPr>
                            <w:r w:rsidRPr="00E361EE">
                              <w:rPr>
                                <w:rFonts w:ascii="Open Sans"/>
                                <w:b/>
                                <w:color w:val="FFFFFF"/>
                                <w:u w:val="single"/>
                              </w:rPr>
                              <w:t>Funding instrument:</w:t>
                            </w:r>
                            <w:r>
                              <w:rPr>
                                <w:rFonts w:ascii="Open Sans"/>
                                <w:b/>
                                <w:color w:val="FFFFFF"/>
                              </w:rPr>
                              <w:t xml:space="preserve"> </w:t>
                            </w:r>
                            <w:r w:rsidRPr="00C04B6D">
                              <w:rPr>
                                <w:rFonts w:ascii="Open Sans"/>
                                <w:b/>
                                <w:color w:val="FFFFFF"/>
                              </w:rPr>
                              <w:t>Union Civil Protection Mechanism (UCPM)</w:t>
                            </w:r>
                          </w:p>
                          <w:p w14:paraId="0731D9C1" w14:textId="77777777" w:rsidR="004B3129" w:rsidRDefault="004B3129" w:rsidP="004B3129">
                            <w:pPr>
                              <w:spacing w:before="36" w:line="223" w:lineRule="auto"/>
                              <w:ind w:left="20" w:right="17"/>
                              <w:rPr>
                                <w:rFonts w:ascii="Open Sans"/>
                                <w:b/>
                                <w:color w:val="FFFFFF"/>
                              </w:rPr>
                            </w:pPr>
                            <w:r w:rsidRPr="00D3538A">
                              <w:rPr>
                                <w:rFonts w:ascii="Open Sans"/>
                                <w:b/>
                                <w:color w:val="FFFFFF"/>
                                <w:u w:val="single"/>
                              </w:rPr>
                              <w:t>Title of the call:</w:t>
                            </w:r>
                            <w:r>
                              <w:rPr>
                                <w:rFonts w:ascii="Open Sans"/>
                                <w:b/>
                                <w:color w:val="FFFFFF"/>
                              </w:rPr>
                              <w:t xml:space="preserve"> </w:t>
                            </w:r>
                            <w:r w:rsidRPr="006741B7">
                              <w:rPr>
                                <w:rFonts w:ascii="Open Sans"/>
                                <w:b/>
                                <w:color w:val="FFFFFF"/>
                              </w:rPr>
                              <w:t>Knowledge for Action in Prevention and Preparedness (UCPM-2024-KAPP)</w:t>
                            </w:r>
                          </w:p>
                          <w:p w14:paraId="1E7B68D4" w14:textId="77777777" w:rsidR="004B3129" w:rsidRDefault="004B3129" w:rsidP="004B3129">
                            <w:pPr>
                              <w:spacing w:before="36" w:line="223" w:lineRule="auto"/>
                              <w:ind w:left="20" w:right="17"/>
                              <w:rPr>
                                <w:rFonts w:ascii="Open Sans"/>
                                <w:b/>
                                <w:color w:val="FFFFFF"/>
                              </w:rPr>
                            </w:pPr>
                            <w:r w:rsidRPr="00DC1904">
                              <w:rPr>
                                <w:rFonts w:ascii="Open Sans"/>
                                <w:b/>
                                <w:color w:val="FFFFFF"/>
                                <w:u w:val="single"/>
                              </w:rPr>
                              <w:t>Responsible DG</w:t>
                            </w:r>
                            <w:r>
                              <w:rPr>
                                <w:rFonts w:ascii="Open Sans"/>
                                <w:b/>
                                <w:color w:val="FFFFFF"/>
                              </w:rPr>
                              <w:t>: DG ECHO</w:t>
                            </w:r>
                          </w:p>
                          <w:p w14:paraId="7F714AD4" w14:textId="77777777" w:rsidR="004B3129" w:rsidRDefault="004B3129" w:rsidP="004B3129">
                            <w:pPr>
                              <w:spacing w:before="36" w:line="223" w:lineRule="auto"/>
                              <w:ind w:left="20" w:right="17"/>
                              <w:jc w:val="both"/>
                              <w:rPr>
                                <w:rFonts w:ascii="Open Sans"/>
                                <w:b/>
                                <w:color w:val="FFFFFF"/>
                              </w:rPr>
                            </w:pPr>
                            <w:r w:rsidRPr="00D3538A">
                              <w:rPr>
                                <w:rFonts w:ascii="Open Sans"/>
                                <w:b/>
                                <w:color w:val="FFFFFF"/>
                                <w:u w:val="single"/>
                              </w:rPr>
                              <w:t>Deadline for submitting the proposal:</w:t>
                            </w:r>
                            <w:r>
                              <w:rPr>
                                <w:rFonts w:ascii="Open Sans"/>
                                <w:b/>
                                <w:color w:val="FFFFFF"/>
                              </w:rPr>
                              <w:t xml:space="preserve"> 25 April 2024 </w:t>
                            </w:r>
                            <w:r>
                              <w:rPr>
                                <w:rFonts w:ascii="Open Sans"/>
                                <w:b/>
                                <w:color w:val="FFFFFF"/>
                              </w:rPr>
                              <w:t>–</w:t>
                            </w:r>
                            <w:r>
                              <w:rPr>
                                <w:rFonts w:ascii="Open Sans"/>
                                <w:b/>
                                <w:color w:val="FFFFFF"/>
                              </w:rPr>
                              <w:t xml:space="preserve"> 17:00 CET</w:t>
                            </w:r>
                          </w:p>
                          <w:p w14:paraId="3850A199" w14:textId="77777777" w:rsidR="004B3129" w:rsidRDefault="004B3129" w:rsidP="004B3129">
                            <w:pPr>
                              <w:spacing w:before="36" w:line="223" w:lineRule="auto"/>
                              <w:ind w:left="20" w:right="17"/>
                              <w:jc w:val="both"/>
                              <w:rPr>
                                <w:rFonts w:ascii="Open Sans"/>
                                <w:b/>
                              </w:rPr>
                            </w:pPr>
                            <w:r w:rsidRPr="00BE21B6">
                              <w:rPr>
                                <w:rFonts w:ascii="Open Sans"/>
                                <w:b/>
                                <w:color w:val="FFFFFF"/>
                                <w:u w:val="single"/>
                              </w:rPr>
                              <w:t>The overall aim</w:t>
                            </w:r>
                            <w:r w:rsidRPr="00A27A56">
                              <w:rPr>
                                <w:rFonts w:ascii="Open Sans"/>
                                <w:b/>
                                <w:color w:val="FFFFFF"/>
                              </w:rPr>
                              <w:t xml:space="preserve"> of this call for proposals is to identify and co-finance projects aimed at </w:t>
                            </w:r>
                            <w:r>
                              <w:rPr>
                                <w:rFonts w:ascii="Open Sans"/>
                                <w:b/>
                                <w:color w:val="FFFFFF"/>
                              </w:rPr>
                              <w:t>strengthening</w:t>
                            </w:r>
                            <w:r w:rsidRPr="00A27A56">
                              <w:rPr>
                                <w:rFonts w:ascii="Open Sans"/>
                                <w:b/>
                                <w:color w:val="FFFFFF"/>
                              </w:rPr>
                              <w:t xml:space="preserve"> cooperation among Member States on disaster prevention and</w:t>
                            </w:r>
                            <w:r>
                              <w:rPr>
                                <w:rFonts w:ascii="Open Sans"/>
                                <w:b/>
                                <w:color w:val="FFFFFF"/>
                              </w:rPr>
                              <w:t xml:space="preserve"> </w:t>
                            </w:r>
                            <w:r w:rsidRPr="00A27A56">
                              <w:rPr>
                                <w:rFonts w:ascii="Open Sans"/>
                                <w:b/>
                                <w:color w:val="FFFFFF"/>
                              </w:rPr>
                              <w:t xml:space="preserve">preparedness, as well as providing a testing environment and a learning opportunity </w:t>
                            </w:r>
                            <w:r>
                              <w:rPr>
                                <w:rFonts w:ascii="Open Sans"/>
                                <w:b/>
                                <w:color w:val="FFFFFF"/>
                              </w:rPr>
                              <w:t>for</w:t>
                            </w:r>
                            <w:r w:rsidRPr="00A27A56">
                              <w:rPr>
                                <w:rFonts w:ascii="Open Sans"/>
                                <w:b/>
                                <w:color w:val="FFFFFF"/>
                              </w:rPr>
                              <w:t xml:space="preserve"> all actors involved in civil protection assistance interventions, though full-scale field </w:t>
                            </w:r>
                            <w:r w:rsidRPr="00BE21B6">
                              <w:rPr>
                                <w:rFonts w:ascii="Open Sans"/>
                                <w:b/>
                                <w:color w:val="FFFFFF"/>
                              </w:rPr>
                              <w:t>exercises.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5821F" id="Text Box 244" o:spid="_x0000_s1030" type="#_x0000_t202" style="position:absolute;margin-left:-22.5pt;margin-top:162.5pt;width:547.5pt;height:129.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" filled="f" stroked="f">
                <v:path arrowok="t"/>
                <v:textbox inset="0,0,0,0">
                  <w:txbxContent>
                    <w:p w14:paraId="4F40E22E" w14:textId="77777777" w:rsidR="004B3129" w:rsidRDefault="004B3129" w:rsidP="004B3129">
                      <w:pPr>
                        <w:spacing w:before="36" w:line="223" w:lineRule="auto"/>
                        <w:ind w:left="20" w:right="17"/>
                        <w:rPr>
                          <w:rFonts w:ascii="Open Sans"/>
                          <w:b/>
                          <w:color w:val="FFFFFF"/>
                        </w:rPr>
                      </w:pPr>
                      <w:r w:rsidRPr="00E361EE">
                        <w:rPr>
                          <w:rFonts w:ascii="Open Sans"/>
                          <w:b/>
                          <w:color w:val="FFFFFF"/>
                          <w:u w:val="single"/>
                        </w:rPr>
                        <w:t>Funding instrument:</w:t>
                      </w:r>
                      <w:r>
                        <w:rPr>
                          <w:rFonts w:ascii="Open Sans"/>
                          <w:b/>
                          <w:color w:val="FFFFFF"/>
                        </w:rPr>
                        <w:t xml:space="preserve"> </w:t>
                      </w:r>
                      <w:r w:rsidRPr="00C04B6D">
                        <w:rPr>
                          <w:rFonts w:ascii="Open Sans"/>
                          <w:b/>
                          <w:color w:val="FFFFFF"/>
                        </w:rPr>
                        <w:t>Union Civil Protection Mechanism (UCPM)</w:t>
                      </w:r>
                    </w:p>
                    <w:p w14:paraId="0731D9C1" w14:textId="77777777" w:rsidR="004B3129" w:rsidRDefault="004B3129" w:rsidP="004B3129">
                      <w:pPr>
                        <w:spacing w:before="36" w:line="223" w:lineRule="auto"/>
                        <w:ind w:left="20" w:right="17"/>
                        <w:rPr>
                          <w:rFonts w:ascii="Open Sans"/>
                          <w:b/>
                          <w:color w:val="FFFFFF"/>
                        </w:rPr>
                      </w:pPr>
                      <w:r w:rsidRPr="00D3538A">
                        <w:rPr>
                          <w:rFonts w:ascii="Open Sans"/>
                          <w:b/>
                          <w:color w:val="FFFFFF"/>
                          <w:u w:val="single"/>
                        </w:rPr>
                        <w:t>Title of the call:</w:t>
                      </w:r>
                      <w:r>
                        <w:rPr>
                          <w:rFonts w:ascii="Open Sans"/>
                          <w:b/>
                          <w:color w:val="FFFFFF"/>
                        </w:rPr>
                        <w:t xml:space="preserve"> </w:t>
                      </w:r>
                      <w:r w:rsidRPr="006741B7">
                        <w:rPr>
                          <w:rFonts w:ascii="Open Sans"/>
                          <w:b/>
                          <w:color w:val="FFFFFF"/>
                        </w:rPr>
                        <w:t>Knowledge for Action in Prevention and Preparedness (UCPM-2024-KAPP)</w:t>
                      </w:r>
                    </w:p>
                    <w:p w14:paraId="1E7B68D4" w14:textId="77777777" w:rsidR="004B3129" w:rsidRDefault="004B3129" w:rsidP="004B3129">
                      <w:pPr>
                        <w:spacing w:before="36" w:line="223" w:lineRule="auto"/>
                        <w:ind w:left="20" w:right="17"/>
                        <w:rPr>
                          <w:rFonts w:ascii="Open Sans"/>
                          <w:b/>
                          <w:color w:val="FFFFFF"/>
                        </w:rPr>
                      </w:pPr>
                      <w:r w:rsidRPr="00DC1904">
                        <w:rPr>
                          <w:rFonts w:ascii="Open Sans"/>
                          <w:b/>
                          <w:color w:val="FFFFFF"/>
                          <w:u w:val="single"/>
                        </w:rPr>
                        <w:t>Responsible DG</w:t>
                      </w:r>
                      <w:r>
                        <w:rPr>
                          <w:rFonts w:ascii="Open Sans"/>
                          <w:b/>
                          <w:color w:val="FFFFFF"/>
                        </w:rPr>
                        <w:t>: DG ECHO</w:t>
                      </w:r>
                    </w:p>
                    <w:p w14:paraId="7F714AD4" w14:textId="77777777" w:rsidR="004B3129" w:rsidRDefault="004B3129" w:rsidP="004B3129">
                      <w:pPr>
                        <w:spacing w:before="36" w:line="223" w:lineRule="auto"/>
                        <w:ind w:left="20" w:right="17"/>
                        <w:jc w:val="both"/>
                        <w:rPr>
                          <w:rFonts w:ascii="Open Sans"/>
                          <w:b/>
                          <w:color w:val="FFFFFF"/>
                        </w:rPr>
                      </w:pPr>
                      <w:r w:rsidRPr="00D3538A">
                        <w:rPr>
                          <w:rFonts w:ascii="Open Sans"/>
                          <w:b/>
                          <w:color w:val="FFFFFF"/>
                          <w:u w:val="single"/>
                        </w:rPr>
                        <w:t>Deadline for submitting the proposal:</w:t>
                      </w:r>
                      <w:r>
                        <w:rPr>
                          <w:rFonts w:ascii="Open Sans"/>
                          <w:b/>
                          <w:color w:val="FFFFFF"/>
                        </w:rPr>
                        <w:t xml:space="preserve"> 25 April 2024 </w:t>
                      </w:r>
                      <w:r>
                        <w:rPr>
                          <w:rFonts w:ascii="Open Sans"/>
                          <w:b/>
                          <w:color w:val="FFFFFF"/>
                        </w:rPr>
                        <w:t>–</w:t>
                      </w:r>
                      <w:r>
                        <w:rPr>
                          <w:rFonts w:ascii="Open Sans"/>
                          <w:b/>
                          <w:color w:val="FFFFFF"/>
                        </w:rPr>
                        <w:t xml:space="preserve"> 17:00 CET</w:t>
                      </w:r>
                    </w:p>
                    <w:p w14:paraId="3850A199" w14:textId="77777777" w:rsidR="004B3129" w:rsidRDefault="004B3129" w:rsidP="004B3129">
                      <w:pPr>
                        <w:spacing w:before="36" w:line="223" w:lineRule="auto"/>
                        <w:ind w:left="20" w:right="17"/>
                        <w:jc w:val="both"/>
                        <w:rPr>
                          <w:rFonts w:ascii="Open Sans"/>
                          <w:b/>
                        </w:rPr>
                      </w:pPr>
                      <w:r w:rsidRPr="00BE21B6">
                        <w:rPr>
                          <w:rFonts w:ascii="Open Sans"/>
                          <w:b/>
                          <w:color w:val="FFFFFF"/>
                          <w:u w:val="single"/>
                        </w:rPr>
                        <w:t>The overall aim</w:t>
                      </w:r>
                      <w:r w:rsidRPr="00A27A56">
                        <w:rPr>
                          <w:rFonts w:ascii="Open Sans"/>
                          <w:b/>
                          <w:color w:val="FFFFFF"/>
                        </w:rPr>
                        <w:t xml:space="preserve"> of this call for proposals is to identify and co-finance projects aimed at </w:t>
                      </w:r>
                      <w:r>
                        <w:rPr>
                          <w:rFonts w:ascii="Open Sans"/>
                          <w:b/>
                          <w:color w:val="FFFFFF"/>
                        </w:rPr>
                        <w:t>strengthening</w:t>
                      </w:r>
                      <w:r w:rsidRPr="00A27A56">
                        <w:rPr>
                          <w:rFonts w:ascii="Open Sans"/>
                          <w:b/>
                          <w:color w:val="FFFFFF"/>
                        </w:rPr>
                        <w:t xml:space="preserve"> cooperation among Member States on disaster prevention and</w:t>
                      </w:r>
                      <w:r>
                        <w:rPr>
                          <w:rFonts w:ascii="Open Sans"/>
                          <w:b/>
                          <w:color w:val="FFFFFF"/>
                        </w:rPr>
                        <w:t xml:space="preserve"> </w:t>
                      </w:r>
                      <w:r w:rsidRPr="00A27A56">
                        <w:rPr>
                          <w:rFonts w:ascii="Open Sans"/>
                          <w:b/>
                          <w:color w:val="FFFFFF"/>
                        </w:rPr>
                        <w:t xml:space="preserve">preparedness, as well as providing a testing environment and a learning opportunity </w:t>
                      </w:r>
                      <w:r>
                        <w:rPr>
                          <w:rFonts w:ascii="Open Sans"/>
                          <w:b/>
                          <w:color w:val="FFFFFF"/>
                        </w:rPr>
                        <w:t>for</w:t>
                      </w:r>
                      <w:r w:rsidRPr="00A27A56">
                        <w:rPr>
                          <w:rFonts w:ascii="Open Sans"/>
                          <w:b/>
                          <w:color w:val="FFFFFF"/>
                        </w:rPr>
                        <w:t xml:space="preserve"> all actors involved in civil protection assistance interventions, though full-scale field </w:t>
                      </w:r>
                      <w:r w:rsidRPr="00BE21B6">
                        <w:rPr>
                          <w:rFonts w:ascii="Open Sans"/>
                          <w:b/>
                          <w:color w:val="FFFFFF"/>
                        </w:rPr>
                        <w:t>exercises.</w:t>
                      </w:r>
                    </w:p>
                  </w:txbxContent>
                </v:textbox>
                <w10:wrap anchorx="margin" anchory="page"/>
              </v:shape>
            </w:pict>
          </mc:Fallback>
        </mc:AlternateContent>
      </w:r>
      <w:r w:rsidR="004B3129">
        <w:rPr>
          <w:noProof/>
        </w:rPr>
        <mc:AlternateContent>
          <mc:Choice Requires="wps">
            <w:drawing>
              <wp:anchor distT="0" distB="0" distL="114300" distR="114300" simplePos="0" relativeHeight="251658241" behindDoc="1" locked="0" layoutInCell="1" allowOverlap="1" wp14:anchorId="002EB839" wp14:editId="1B5E0793">
                <wp:simplePos x="0" y="0"/>
                <wp:positionH relativeFrom="page">
                  <wp:align>right</wp:align>
                </wp:positionH>
                <wp:positionV relativeFrom="page">
                  <wp:posOffset>1647825</wp:posOffset>
                </wp:positionV>
                <wp:extent cx="7762875" cy="2038350"/>
                <wp:effectExtent l="0" t="0" r="9525" b="0"/>
                <wp:wrapNone/>
                <wp:docPr id="250"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62875" cy="2038350"/>
                        </a:xfrm>
                        <a:prstGeom prst="rect">
                          <a:avLst/>
                        </a:prstGeom>
                        <a:solidFill>
                          <a:srgbClr val="001D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pic="http://schemas.openxmlformats.org/drawingml/2006/picture" xmlns:a14="http://schemas.microsoft.com/office/drawing/2010/main" xmlns:a="http://schemas.openxmlformats.org/drawingml/2006/main">
            <w:pict>
              <v:rect id="Rectangle 251" style="position:absolute;margin-left:560.05pt;margin-top:129.75pt;width:611.25pt;height:160.5pt;z-index:-25165823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spid="_x0000_s1026" fillcolor="#001d40" stroked="f" w14:anchorId="492C0C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">
                <v:path arrowok="t"/>
                <w10:wrap anchorx="page" anchory="page"/>
              </v:rect>
            </w:pict>
          </mc:Fallback>
        </mc:AlternateContent>
      </w:r>
      <w:r w:rsidR="004B3129">
        <w:rPr>
          <w:noProof/>
        </w:rPr>
        <mc:AlternateContent>
          <mc:Choice Requires="wps">
            <w:drawing>
              <wp:anchor distT="0" distB="0" distL="114300" distR="114300" simplePos="0" relativeHeight="251658242" behindDoc="1" locked="0" layoutInCell="1" allowOverlap="1" wp14:anchorId="015553F8" wp14:editId="4183107C">
                <wp:simplePos x="0" y="0"/>
                <wp:positionH relativeFrom="margin">
                  <wp:align>center</wp:align>
                </wp:positionH>
                <wp:positionV relativeFrom="page">
                  <wp:posOffset>1760855</wp:posOffset>
                </wp:positionV>
                <wp:extent cx="6504940" cy="288925"/>
                <wp:effectExtent l="0" t="0" r="10160" b="15875"/>
                <wp:wrapNone/>
                <wp:docPr id="244"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04940"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44AB8" w14:textId="77777777" w:rsidR="004B3129" w:rsidRDefault="004B3129" w:rsidP="004B3129">
                            <w:pPr>
                              <w:pStyle w:val="Headlineredcaps"/>
                            </w:pPr>
                            <w:r>
                              <w:t>Overview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553F8" id="Text Box 245" o:spid="_x0000_s1031" type="#_x0000_t202" style="position:absolute;margin-left:0;margin-top:138.65pt;width:512.2pt;height:22.75pt;z-index:-25165823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" filled="f" stroked="f">
                <v:path arrowok="t"/>
                <v:textbox inset="0,0,0,0">
                  <w:txbxContent>
                    <w:p w14:paraId="08544AB8" w14:textId="77777777" w:rsidR="004B3129" w:rsidRDefault="004B3129" w:rsidP="004B3129">
                      <w:pPr>
                        <w:pStyle w:val="Headlineredcaps"/>
                      </w:pPr>
                      <w:r>
                        <w:t>Overview</w:t>
                      </w:r>
                    </w:p>
                  </w:txbxContent>
                </v:textbox>
                <w10:wrap anchorx="margin" anchory="page"/>
              </v:shape>
            </w:pict>
          </mc:Fallback>
        </mc:AlternateContent>
      </w:r>
      <w:r w:rsidR="004B3129">
        <w:rPr>
          <w:noProof/>
        </w:rPr>
        <mc:AlternateContent>
          <mc:Choice Requires="wps">
            <w:drawing>
              <wp:anchor distT="0" distB="0" distL="114300" distR="114300" simplePos="0" relativeHeight="251658246" behindDoc="1" locked="0" layoutInCell="1" allowOverlap="1" wp14:anchorId="5C1C3226" wp14:editId="739B7AFB">
                <wp:simplePos x="0" y="0"/>
                <wp:positionH relativeFrom="page">
                  <wp:align>left</wp:align>
                </wp:positionH>
                <wp:positionV relativeFrom="page">
                  <wp:posOffset>8743950</wp:posOffset>
                </wp:positionV>
                <wp:extent cx="7753350" cy="1315720"/>
                <wp:effectExtent l="0" t="0" r="0" b="0"/>
                <wp:wrapNone/>
                <wp:docPr id="249"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53350" cy="1315720"/>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pic="http://schemas.openxmlformats.org/drawingml/2006/picture" xmlns:a14="http://schemas.microsoft.com/office/drawing/2010/main" xmlns:a="http://schemas.openxmlformats.org/drawingml/2006/main">
            <w:pict>
              <v:rect id="Rectangle 250" style="position:absolute;margin-left:0;margin-top:688.5pt;width:610.5pt;height:103.6pt;z-index:-251658233;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o:spid="_x0000_s1026" fillcolor="#f1f2f2" stroked="f" w14:anchorId="77CBE8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">
                <v:path arrowok="t"/>
                <w10:wrap anchorx="page" anchory="page"/>
              </v:rect>
            </w:pict>
          </mc:Fallback>
        </mc:AlternateContent>
      </w:r>
      <w:r w:rsidR="004B3129">
        <w:rPr>
          <w:noProof/>
        </w:rPr>
        <mc:AlternateContent>
          <mc:Choice Requires="wps">
            <w:drawing>
              <wp:anchor distT="0" distB="0" distL="114300" distR="114300" simplePos="0" relativeHeight="251658244" behindDoc="1" locked="0" layoutInCell="1" allowOverlap="1" wp14:anchorId="585DE551" wp14:editId="30516064">
                <wp:simplePos x="0" y="0"/>
                <wp:positionH relativeFrom="margin">
                  <wp:align>center</wp:align>
                </wp:positionH>
                <wp:positionV relativeFrom="page">
                  <wp:posOffset>3886200</wp:posOffset>
                </wp:positionV>
                <wp:extent cx="6600825" cy="336550"/>
                <wp:effectExtent l="0" t="0" r="9525" b="6350"/>
                <wp:wrapNone/>
                <wp:docPr id="242"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0082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0C07C" w14:textId="77777777" w:rsidR="004B3129" w:rsidRPr="000A786D" w:rsidRDefault="004B3129" w:rsidP="004B3129">
                            <w:pPr>
                              <w:spacing w:before="20"/>
                              <w:ind w:left="20"/>
                              <w:rPr>
                                <w:rFonts w:ascii="Montserrat"/>
                                <w:b/>
                                <w:sz w:val="32"/>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DE551" id="Text Box 243" o:spid="_x0000_s1032" type="#_x0000_t202" style="position:absolute;margin-left:0;margin-top:306pt;width:519.75pt;height:26.5pt;z-index:-2516582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" filled="f" stroked="f">
                <v:path arrowok="t"/>
                <v:textbox inset="0,0,0,0">
                  <w:txbxContent>
                    <w:p w14:paraId="6E30C07C" w14:textId="77777777" w:rsidR="004B3129" w:rsidRPr="000A786D" w:rsidRDefault="004B3129" w:rsidP="004B3129">
                      <w:pPr>
                        <w:spacing w:before="20"/>
                        <w:ind w:left="20"/>
                        <w:rPr>
                          <w:rFonts w:ascii="Montserrat"/>
                          <w:b/>
                          <w:sz w:val="32"/>
                          <w:szCs w:val="20"/>
                        </w:rPr>
                      </w:pPr>
                    </w:p>
                  </w:txbxContent>
                </v:textbox>
                <w10:wrap anchorx="margin" anchory="page"/>
              </v:shape>
            </w:pict>
          </mc:Fallback>
        </mc:AlternateContent>
      </w:r>
    </w:p>
    <w:sectPr w:rsidR="004B3129" w:rsidRPr="001823BD" w:rsidSect="00822028">
      <w:footerReference w:type="even" r:id="rId28"/>
      <w:footerReference w:type="default" r:id="rId29"/>
      <w:footerReference w:type="first" r:id="rId30"/>
      <w:pgSz w:w="12240" w:h="15840"/>
      <w:pgMar w:top="1080" w:right="851" w:bottom="1080"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768F1" w14:textId="77777777" w:rsidR="00822028" w:rsidRDefault="00822028" w:rsidP="00AE4E55">
      <w:r>
        <w:separator/>
      </w:r>
    </w:p>
  </w:endnote>
  <w:endnote w:type="continuationSeparator" w:id="0">
    <w:p w14:paraId="6CB7DA0D" w14:textId="77777777" w:rsidR="00822028" w:rsidRDefault="00822028" w:rsidP="00AE4E55">
      <w:r>
        <w:continuationSeparator/>
      </w:r>
    </w:p>
  </w:endnote>
  <w:endnote w:type="continuationNotice" w:id="1">
    <w:p w14:paraId="661E4689" w14:textId="77777777" w:rsidR="00822028" w:rsidRDefault="008220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ans-Light">
    <w:altName w:val="Calibr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295CB" w14:textId="71D2524D" w:rsidR="00AE4E55" w:rsidRDefault="00AE4E55">
    <w:pPr>
      <w:pStyle w:val="Footer"/>
    </w:pPr>
    <w:r>
      <w:rPr>
        <w:noProof/>
        <w14:ligatures w14:val="standardContextual"/>
      </w:rPr>
      <mc:AlternateContent>
        <mc:Choice Requires="wps">
          <w:drawing>
            <wp:anchor distT="0" distB="0" distL="0" distR="0" simplePos="0" relativeHeight="251658241" behindDoc="0" locked="0" layoutInCell="1" allowOverlap="1" wp14:anchorId="2CAC3921" wp14:editId="6FE07565">
              <wp:simplePos x="635" y="635"/>
              <wp:positionH relativeFrom="page">
                <wp:align>left</wp:align>
              </wp:positionH>
              <wp:positionV relativeFrom="page">
                <wp:align>bottom</wp:align>
              </wp:positionV>
              <wp:extent cx="443865" cy="443865"/>
              <wp:effectExtent l="0" t="0" r="6350" b="0"/>
              <wp:wrapNone/>
              <wp:docPr id="3" name="Text Box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54C311" w14:textId="70CC0EA2" w:rsidR="00AE4E55" w:rsidRPr="00AE4E55" w:rsidRDefault="00AE4E55" w:rsidP="00AE4E55">
                          <w:pPr>
                            <w:rPr>
                              <w:rFonts w:ascii="Calibri" w:eastAsia="Calibri" w:hAnsi="Calibri" w:cs="Calibri"/>
                              <w:noProof/>
                              <w:color w:val="000000"/>
                              <w:sz w:val="20"/>
                              <w:szCs w:val="20"/>
                            </w:rPr>
                          </w:pPr>
                          <w:r w:rsidRPr="00AE4E55">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AC3921" id="_x0000_t202" coordsize="21600,21600" o:spt="202" path="m,l,21600r21600,l21600,xe">
              <v:stroke joinstyle="miter"/>
              <v:path gradientshapeok="t" o:connecttype="rect"/>
            </v:shapetype>
            <v:shape id="Text Box 3" o:spid="_x0000_s1033" type="#_x0000_t202" alt="Public"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0A54C311" w14:textId="70CC0EA2" w:rsidR="00AE4E55" w:rsidRPr="00AE4E55" w:rsidRDefault="00AE4E55" w:rsidP="00AE4E55">
                    <w:pPr>
                      <w:rPr>
                        <w:rFonts w:ascii="Calibri" w:eastAsia="Calibri" w:hAnsi="Calibri" w:cs="Calibri"/>
                        <w:noProof/>
                        <w:color w:val="000000"/>
                        <w:sz w:val="20"/>
                        <w:szCs w:val="20"/>
                      </w:rPr>
                    </w:pPr>
                    <w:r w:rsidRPr="00AE4E55">
                      <w:rPr>
                        <w:rFonts w:ascii="Calibri" w:eastAsia="Calibri" w:hAnsi="Calibri" w:cs="Calibri"/>
                        <w:noProof/>
                        <w:color w:val="000000"/>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B498F" w14:textId="76D19F63" w:rsidR="00AE4E55" w:rsidRDefault="00AE4E55">
    <w:pPr>
      <w:pStyle w:val="Footer"/>
    </w:pPr>
    <w:r>
      <w:rPr>
        <w:noProof/>
        <w14:ligatures w14:val="standardContextual"/>
      </w:rPr>
      <mc:AlternateContent>
        <mc:Choice Requires="wps">
          <w:drawing>
            <wp:anchor distT="0" distB="0" distL="0" distR="0" simplePos="0" relativeHeight="251658242" behindDoc="0" locked="0" layoutInCell="1" allowOverlap="1" wp14:anchorId="62DC8203" wp14:editId="5C3D2040">
              <wp:simplePos x="0" y="0"/>
              <wp:positionH relativeFrom="page">
                <wp:align>left</wp:align>
              </wp:positionH>
              <wp:positionV relativeFrom="page">
                <wp:posOffset>7564120</wp:posOffset>
              </wp:positionV>
              <wp:extent cx="443865" cy="443865"/>
              <wp:effectExtent l="0" t="0" r="6350" b="0"/>
              <wp:wrapNone/>
              <wp:docPr id="4" name="Text Box 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06D691" w14:textId="61625330" w:rsidR="00AE4E55" w:rsidRPr="00AE4E55" w:rsidRDefault="00AE4E55" w:rsidP="00AE4E55">
                          <w:pPr>
                            <w:rPr>
                              <w:rFonts w:ascii="Calibri" w:eastAsia="Calibri" w:hAnsi="Calibri" w:cs="Calibri"/>
                              <w:noProof/>
                              <w:color w:val="000000"/>
                              <w:sz w:val="20"/>
                              <w:szCs w:val="20"/>
                            </w:rPr>
                          </w:pPr>
                          <w:r w:rsidRPr="00AE4E55">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2DC8203" id="_x0000_t202" coordsize="21600,21600" o:spt="202" path="m,l,21600r21600,l21600,xe">
              <v:stroke joinstyle="miter"/>
              <v:path gradientshapeok="t" o:connecttype="rect"/>
            </v:shapetype>
            <v:shape id="Text Box 4" o:spid="_x0000_s1034" type="#_x0000_t202" alt="Public" style="position:absolute;margin-left:0;margin-top:595.6pt;width:34.95pt;height:34.95pt;z-index:251658242;visibility:visible;mso-wrap-style:none;mso-wrap-distance-left:0;mso-wrap-distance-top:0;mso-wrap-distance-right:0;mso-wrap-distance-bottom:0;mso-position-horizontal:left;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" filled="f" stroked="f">
              <v:textbox style="mso-fit-shape-to-text:t" inset="20pt,0,0,15pt">
                <w:txbxContent>
                  <w:p w14:paraId="4006D691" w14:textId="61625330" w:rsidR="00AE4E55" w:rsidRPr="00AE4E55" w:rsidRDefault="00AE4E55" w:rsidP="00AE4E55">
                    <w:pPr>
                      <w:rPr>
                        <w:rFonts w:ascii="Calibri" w:eastAsia="Calibri" w:hAnsi="Calibri" w:cs="Calibri"/>
                        <w:noProof/>
                        <w:color w:val="000000"/>
                        <w:sz w:val="20"/>
                        <w:szCs w:val="20"/>
                      </w:rPr>
                    </w:pPr>
                    <w:r w:rsidRPr="00AE4E55">
                      <w:rPr>
                        <w:rFonts w:ascii="Calibri" w:eastAsia="Calibri" w:hAnsi="Calibri" w:cs="Calibri"/>
                        <w:noProof/>
                        <w:color w:val="000000"/>
                        <w:sz w:val="20"/>
                        <w:szCs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8BFB4" w14:textId="4379B624" w:rsidR="00AE4E55" w:rsidRDefault="00AE4E55">
    <w:pPr>
      <w:pStyle w:val="Footer"/>
    </w:pPr>
    <w:r>
      <w:rPr>
        <w:noProof/>
        <w14:ligatures w14:val="standardContextual"/>
      </w:rPr>
      <mc:AlternateContent>
        <mc:Choice Requires="wps">
          <w:drawing>
            <wp:anchor distT="0" distB="0" distL="0" distR="0" simplePos="0" relativeHeight="251658240" behindDoc="0" locked="0" layoutInCell="1" allowOverlap="1" wp14:anchorId="2F4D4C36" wp14:editId="78D9F2E9">
              <wp:simplePos x="635" y="635"/>
              <wp:positionH relativeFrom="page">
                <wp:align>left</wp:align>
              </wp:positionH>
              <wp:positionV relativeFrom="page">
                <wp:align>bottom</wp:align>
              </wp:positionV>
              <wp:extent cx="443865" cy="443865"/>
              <wp:effectExtent l="0" t="0" r="6350" b="0"/>
              <wp:wrapNone/>
              <wp:docPr id="2"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7EC6F8" w14:textId="33A41C58" w:rsidR="00AE4E55" w:rsidRPr="00AE4E55" w:rsidRDefault="00AE4E55" w:rsidP="00AE4E55">
                          <w:pPr>
                            <w:rPr>
                              <w:rFonts w:ascii="Calibri" w:eastAsia="Calibri" w:hAnsi="Calibri" w:cs="Calibri"/>
                              <w:noProof/>
                              <w:color w:val="000000"/>
                              <w:sz w:val="20"/>
                              <w:szCs w:val="20"/>
                            </w:rPr>
                          </w:pPr>
                          <w:r w:rsidRPr="00AE4E55">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F4D4C36" id="_x0000_t202" coordsize="21600,21600" o:spt="202" path="m,l,21600r21600,l21600,xe">
              <v:stroke joinstyle="miter"/>
              <v:path gradientshapeok="t" o:connecttype="rect"/>
            </v:shapetype>
            <v:shape id="Text Box 2" o:spid="_x0000_s1035" type="#_x0000_t202" alt="Public"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6D7EC6F8" w14:textId="33A41C58" w:rsidR="00AE4E55" w:rsidRPr="00AE4E55" w:rsidRDefault="00AE4E55" w:rsidP="00AE4E55">
                    <w:pPr>
                      <w:rPr>
                        <w:rFonts w:ascii="Calibri" w:eastAsia="Calibri" w:hAnsi="Calibri" w:cs="Calibri"/>
                        <w:noProof/>
                        <w:color w:val="000000"/>
                        <w:sz w:val="20"/>
                        <w:szCs w:val="20"/>
                      </w:rPr>
                    </w:pPr>
                    <w:r w:rsidRPr="00AE4E55">
                      <w:rPr>
                        <w:rFonts w:ascii="Calibri" w:eastAsia="Calibri" w:hAnsi="Calibri" w:cs="Calibri"/>
                        <w:noProof/>
                        <w:color w:val="000000"/>
                        <w:sz w:val="20"/>
                        <w:szCs w:val="20"/>
                      </w:rPr>
                      <w:t>Public</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8C5FF" w14:textId="77777777" w:rsidR="004B3129" w:rsidRDefault="004B3129">
    <w:pPr>
      <w:pStyle w:val="Footer"/>
    </w:pPr>
    <w:r>
      <w:rPr>
        <w:noProof/>
        <w14:ligatures w14:val="standardContextual"/>
      </w:rPr>
      <mc:AlternateContent>
        <mc:Choice Requires="wps">
          <w:drawing>
            <wp:anchor distT="0" distB="0" distL="0" distR="0" simplePos="0" relativeHeight="251658244" behindDoc="0" locked="0" layoutInCell="1" allowOverlap="1" wp14:anchorId="6646B58E" wp14:editId="41AFE93E">
              <wp:simplePos x="635" y="635"/>
              <wp:positionH relativeFrom="page">
                <wp:align>left</wp:align>
              </wp:positionH>
              <wp:positionV relativeFrom="page">
                <wp:align>bottom</wp:align>
              </wp:positionV>
              <wp:extent cx="443865" cy="443865"/>
              <wp:effectExtent l="0" t="0" r="6350" b="0"/>
              <wp:wrapNone/>
              <wp:docPr id="1840407628" name="Text Box 1840407628"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7698CA" w14:textId="77777777" w:rsidR="004B3129" w:rsidRPr="00AE4E55" w:rsidRDefault="004B3129" w:rsidP="00AE4E55">
                          <w:pPr>
                            <w:rPr>
                              <w:rFonts w:ascii="Calibri" w:eastAsia="Calibri" w:hAnsi="Calibri" w:cs="Calibri"/>
                              <w:noProof/>
                              <w:color w:val="000000"/>
                              <w:sz w:val="20"/>
                              <w:szCs w:val="20"/>
                            </w:rPr>
                          </w:pPr>
                          <w:r w:rsidRPr="00AE4E55">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646B58E" id="_x0000_t202" coordsize="21600,21600" o:spt="202" path="m,l,21600r21600,l21600,xe">
              <v:stroke joinstyle="miter"/>
              <v:path gradientshapeok="t" o:connecttype="rect"/>
            </v:shapetype>
            <v:shape id="Text Box 1840407628" o:spid="_x0000_s1036" type="#_x0000_t202" alt="Public" style="position:absolute;margin-left:0;margin-top:0;width:34.95pt;height:34.9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397698CA" w14:textId="77777777" w:rsidR="004B3129" w:rsidRPr="00AE4E55" w:rsidRDefault="004B3129" w:rsidP="00AE4E55">
                    <w:pPr>
                      <w:rPr>
                        <w:rFonts w:ascii="Calibri" w:eastAsia="Calibri" w:hAnsi="Calibri" w:cs="Calibri"/>
                        <w:noProof/>
                        <w:color w:val="000000"/>
                        <w:sz w:val="20"/>
                        <w:szCs w:val="20"/>
                      </w:rPr>
                    </w:pPr>
                    <w:r w:rsidRPr="00AE4E55">
                      <w:rPr>
                        <w:rFonts w:ascii="Calibri" w:eastAsia="Calibri" w:hAnsi="Calibri" w:cs="Calibri"/>
                        <w:noProof/>
                        <w:color w:val="000000"/>
                        <w:sz w:val="20"/>
                        <w:szCs w:val="20"/>
                      </w:rPr>
                      <w:t>Public</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DC4B0" w14:textId="77777777" w:rsidR="004B3129" w:rsidRDefault="004B3129">
    <w:pPr>
      <w:pStyle w:val="Footer"/>
    </w:pPr>
    <w:r>
      <w:rPr>
        <w:noProof/>
        <w14:ligatures w14:val="standardContextual"/>
      </w:rPr>
      <mc:AlternateContent>
        <mc:Choice Requires="wps">
          <w:drawing>
            <wp:anchor distT="0" distB="0" distL="0" distR="0" simplePos="0" relativeHeight="251658245" behindDoc="0" locked="0" layoutInCell="1" allowOverlap="1" wp14:anchorId="1493D581" wp14:editId="06727183">
              <wp:simplePos x="914400" y="9429750"/>
              <wp:positionH relativeFrom="page">
                <wp:align>left</wp:align>
              </wp:positionH>
              <wp:positionV relativeFrom="page">
                <wp:align>bottom</wp:align>
              </wp:positionV>
              <wp:extent cx="443865" cy="443865"/>
              <wp:effectExtent l="0" t="0" r="6350" b="0"/>
              <wp:wrapNone/>
              <wp:docPr id="1264095768" name="Text Box 1264095768"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F6A8A2" w14:textId="77777777" w:rsidR="004B3129" w:rsidRPr="00AE4E55" w:rsidRDefault="004B3129" w:rsidP="00AE4E55">
                          <w:pPr>
                            <w:rPr>
                              <w:rFonts w:ascii="Calibri" w:eastAsia="Calibri" w:hAnsi="Calibri" w:cs="Calibri"/>
                              <w:noProof/>
                              <w:color w:val="000000"/>
                              <w:sz w:val="20"/>
                              <w:szCs w:val="20"/>
                            </w:rPr>
                          </w:pPr>
                          <w:r w:rsidRPr="00AE4E55">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93D581" id="_x0000_t202" coordsize="21600,21600" o:spt="202" path="m,l,21600r21600,l21600,xe">
              <v:stroke joinstyle="miter"/>
              <v:path gradientshapeok="t" o:connecttype="rect"/>
            </v:shapetype>
            <v:shape id="Text Box 1264095768" o:spid="_x0000_s1037" type="#_x0000_t202" alt="Public" style="position:absolute;margin-left:0;margin-top:0;width:34.95pt;height:34.9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75F6A8A2" w14:textId="77777777" w:rsidR="004B3129" w:rsidRPr="00AE4E55" w:rsidRDefault="004B3129" w:rsidP="00AE4E55">
                    <w:pPr>
                      <w:rPr>
                        <w:rFonts w:ascii="Calibri" w:eastAsia="Calibri" w:hAnsi="Calibri" w:cs="Calibri"/>
                        <w:noProof/>
                        <w:color w:val="000000"/>
                        <w:sz w:val="20"/>
                        <w:szCs w:val="20"/>
                      </w:rPr>
                    </w:pPr>
                    <w:r w:rsidRPr="00AE4E55">
                      <w:rPr>
                        <w:rFonts w:ascii="Calibri" w:eastAsia="Calibri" w:hAnsi="Calibri" w:cs="Calibri"/>
                        <w:noProof/>
                        <w:color w:val="000000"/>
                        <w:sz w:val="20"/>
                        <w:szCs w:val="20"/>
                      </w:rPr>
                      <w:t>Public</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B91DC" w14:textId="77777777" w:rsidR="004B3129" w:rsidRDefault="004B3129">
    <w:pPr>
      <w:pStyle w:val="Footer"/>
    </w:pPr>
    <w:r>
      <w:rPr>
        <w:noProof/>
        <w14:ligatures w14:val="standardContextual"/>
      </w:rPr>
      <mc:AlternateContent>
        <mc:Choice Requires="wps">
          <w:drawing>
            <wp:anchor distT="0" distB="0" distL="0" distR="0" simplePos="0" relativeHeight="251658243" behindDoc="0" locked="0" layoutInCell="1" allowOverlap="1" wp14:anchorId="6F79522E" wp14:editId="1C529344">
              <wp:simplePos x="635" y="635"/>
              <wp:positionH relativeFrom="page">
                <wp:align>left</wp:align>
              </wp:positionH>
              <wp:positionV relativeFrom="page">
                <wp:align>bottom</wp:align>
              </wp:positionV>
              <wp:extent cx="443865" cy="443865"/>
              <wp:effectExtent l="0" t="0" r="6350" b="0"/>
              <wp:wrapNone/>
              <wp:docPr id="1905284152" name="Text Box 190528415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5A2EE8" w14:textId="77777777" w:rsidR="004B3129" w:rsidRPr="00AE4E55" w:rsidRDefault="004B3129" w:rsidP="00AE4E55">
                          <w:pPr>
                            <w:rPr>
                              <w:rFonts w:ascii="Calibri" w:eastAsia="Calibri" w:hAnsi="Calibri" w:cs="Calibri"/>
                              <w:noProof/>
                              <w:color w:val="000000"/>
                              <w:sz w:val="20"/>
                              <w:szCs w:val="20"/>
                            </w:rPr>
                          </w:pPr>
                          <w:r w:rsidRPr="00AE4E55">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F79522E" id="_x0000_t202" coordsize="21600,21600" o:spt="202" path="m,l,21600r21600,l21600,xe">
              <v:stroke joinstyle="miter"/>
              <v:path gradientshapeok="t" o:connecttype="rect"/>
            </v:shapetype>
            <v:shape id="Text Box 1905284152" o:spid="_x0000_s1038" type="#_x0000_t202" alt="Public" style="position:absolute;margin-left:0;margin-top:0;width:34.95pt;height:34.9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0F5A2EE8" w14:textId="77777777" w:rsidR="004B3129" w:rsidRPr="00AE4E55" w:rsidRDefault="004B3129" w:rsidP="00AE4E55">
                    <w:pPr>
                      <w:rPr>
                        <w:rFonts w:ascii="Calibri" w:eastAsia="Calibri" w:hAnsi="Calibri" w:cs="Calibri"/>
                        <w:noProof/>
                        <w:color w:val="000000"/>
                        <w:sz w:val="20"/>
                        <w:szCs w:val="20"/>
                      </w:rPr>
                    </w:pPr>
                    <w:r w:rsidRPr="00AE4E55">
                      <w:rPr>
                        <w:rFonts w:ascii="Calibri" w:eastAsia="Calibri" w:hAnsi="Calibri" w:cs="Calibri"/>
                        <w:noProof/>
                        <w:color w:val="000000"/>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91C6E" w14:textId="77777777" w:rsidR="00822028" w:rsidRDefault="00822028" w:rsidP="00AE4E55">
      <w:r>
        <w:separator/>
      </w:r>
    </w:p>
  </w:footnote>
  <w:footnote w:type="continuationSeparator" w:id="0">
    <w:p w14:paraId="3DD06302" w14:textId="77777777" w:rsidR="00822028" w:rsidRDefault="00822028" w:rsidP="00AE4E55">
      <w:r>
        <w:continuationSeparator/>
      </w:r>
    </w:p>
  </w:footnote>
  <w:footnote w:type="continuationNotice" w:id="1">
    <w:p w14:paraId="1EB2B2D6" w14:textId="77777777" w:rsidR="00822028" w:rsidRDefault="008220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3AB7"/>
    <w:multiLevelType w:val="hybridMultilevel"/>
    <w:tmpl w:val="82A6B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91355"/>
    <w:multiLevelType w:val="hybridMultilevel"/>
    <w:tmpl w:val="B800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55289"/>
    <w:multiLevelType w:val="hybridMultilevel"/>
    <w:tmpl w:val="7BDE66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995675"/>
    <w:multiLevelType w:val="multilevel"/>
    <w:tmpl w:val="FDA65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0E6108"/>
    <w:multiLevelType w:val="hybridMultilevel"/>
    <w:tmpl w:val="F2509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D4099E"/>
    <w:multiLevelType w:val="hybridMultilevel"/>
    <w:tmpl w:val="0122E310"/>
    <w:lvl w:ilvl="0" w:tplc="0409000F">
      <w:start w:val="1"/>
      <w:numFmt w:val="decimal"/>
      <w:lvlText w:val="%1."/>
      <w:lvlJc w:val="left"/>
      <w:pPr>
        <w:ind w:left="360" w:hanging="360"/>
      </w:pPr>
    </w:lvl>
    <w:lvl w:ilvl="1" w:tplc="86DC31F0">
      <w:start w:val="1"/>
      <w:numFmt w:val="lowerLetter"/>
      <w:lvlText w:val="%2."/>
      <w:lvlJc w:val="left"/>
      <w:pPr>
        <w:ind w:left="1080" w:hanging="360"/>
      </w:pPr>
      <w:rPr>
        <w:i/>
        <w:i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CC72BC1"/>
    <w:multiLevelType w:val="hybridMultilevel"/>
    <w:tmpl w:val="A3BAA15C"/>
    <w:lvl w:ilvl="0" w:tplc="8C7298D8">
      <w:start w:val="2900"/>
      <w:numFmt w:val="bullet"/>
      <w:lvlText w:val="-"/>
      <w:lvlJc w:val="left"/>
      <w:pPr>
        <w:ind w:left="720" w:hanging="360"/>
      </w:pPr>
      <w:rPr>
        <w:rFonts w:ascii="OpenSans-Light" w:eastAsia="OpenSans-Light" w:hAnsi="OpenSans-Light" w:cs="OpenSans-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700D07"/>
    <w:multiLevelType w:val="hybridMultilevel"/>
    <w:tmpl w:val="D4A67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063D8C"/>
    <w:multiLevelType w:val="hybridMultilevel"/>
    <w:tmpl w:val="58E494C0"/>
    <w:lvl w:ilvl="0" w:tplc="A524BF24">
      <w:start w:val="2900"/>
      <w:numFmt w:val="bullet"/>
      <w:lvlText w:val="-"/>
      <w:lvlJc w:val="left"/>
      <w:pPr>
        <w:ind w:left="720" w:hanging="360"/>
      </w:pPr>
      <w:rPr>
        <w:rFonts w:ascii="OpenSans-Light" w:eastAsia="OpenSans-Light" w:hAnsi="OpenSans-Light" w:cs="OpenSans-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0C3E16"/>
    <w:multiLevelType w:val="hybridMultilevel"/>
    <w:tmpl w:val="BE7E913C"/>
    <w:lvl w:ilvl="0" w:tplc="4F7234BE">
      <w:numFmt w:val="bullet"/>
      <w:lvlText w:val="-"/>
      <w:lvlJc w:val="left"/>
      <w:pPr>
        <w:ind w:left="380" w:hanging="360"/>
      </w:pPr>
      <w:rPr>
        <w:rFonts w:ascii="OpenSans-Light" w:eastAsia="OpenSans-Light" w:hAnsi="OpenSans-Light" w:cs="OpenSans-Light" w:hint="default"/>
      </w:rPr>
    </w:lvl>
    <w:lvl w:ilvl="1" w:tplc="04090003">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0" w15:restartNumberingAfterBreak="0">
    <w:nsid w:val="5FB62303"/>
    <w:multiLevelType w:val="hybridMultilevel"/>
    <w:tmpl w:val="405A4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1A7E72"/>
    <w:multiLevelType w:val="hybridMultilevel"/>
    <w:tmpl w:val="177C4408"/>
    <w:lvl w:ilvl="0" w:tplc="8C7298D8">
      <w:start w:val="2900"/>
      <w:numFmt w:val="bullet"/>
      <w:lvlText w:val="-"/>
      <w:lvlJc w:val="left"/>
      <w:pPr>
        <w:ind w:left="720" w:hanging="360"/>
      </w:pPr>
      <w:rPr>
        <w:rFonts w:ascii="OpenSans-Light" w:eastAsia="OpenSans-Light" w:hAnsi="OpenSans-Light" w:cs="OpenSans-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307F67"/>
    <w:multiLevelType w:val="hybridMultilevel"/>
    <w:tmpl w:val="FD74CD62"/>
    <w:lvl w:ilvl="0" w:tplc="C3680E0A">
      <w:numFmt w:val="bullet"/>
      <w:lvlText w:val="-"/>
      <w:lvlJc w:val="left"/>
      <w:pPr>
        <w:ind w:left="380" w:hanging="360"/>
      </w:pPr>
      <w:rPr>
        <w:rFonts w:ascii="OpenSans-Light" w:eastAsia="OpenSans-Light" w:hAnsi="OpenSans-Light" w:cs="OpenSans-Light"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3" w15:restartNumberingAfterBreak="0">
    <w:nsid w:val="6FA71895"/>
    <w:multiLevelType w:val="hybridMultilevel"/>
    <w:tmpl w:val="7CD2E6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9EC2799"/>
    <w:multiLevelType w:val="hybridMultilevel"/>
    <w:tmpl w:val="66D0AD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F27BC2"/>
    <w:multiLevelType w:val="hybridMultilevel"/>
    <w:tmpl w:val="496665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83011025">
    <w:abstractNumId w:val="12"/>
  </w:num>
  <w:num w:numId="2" w16cid:durableId="1478565870">
    <w:abstractNumId w:val="9"/>
  </w:num>
  <w:num w:numId="3" w16cid:durableId="1993175461">
    <w:abstractNumId w:val="1"/>
  </w:num>
  <w:num w:numId="4" w16cid:durableId="2002734373">
    <w:abstractNumId w:val="7"/>
  </w:num>
  <w:num w:numId="5" w16cid:durableId="94448444">
    <w:abstractNumId w:val="8"/>
  </w:num>
  <w:num w:numId="6" w16cid:durableId="1632247110">
    <w:abstractNumId w:val="11"/>
  </w:num>
  <w:num w:numId="7" w16cid:durableId="376707462">
    <w:abstractNumId w:val="6"/>
  </w:num>
  <w:num w:numId="8" w16cid:durableId="1814591402">
    <w:abstractNumId w:val="3"/>
  </w:num>
  <w:num w:numId="9" w16cid:durableId="1668824596">
    <w:abstractNumId w:val="2"/>
  </w:num>
  <w:num w:numId="10" w16cid:durableId="291445157">
    <w:abstractNumId w:val="0"/>
  </w:num>
  <w:num w:numId="11" w16cid:durableId="1758598743">
    <w:abstractNumId w:val="14"/>
  </w:num>
  <w:num w:numId="12" w16cid:durableId="601646805">
    <w:abstractNumId w:val="5"/>
  </w:num>
  <w:num w:numId="13" w16cid:durableId="1855345089">
    <w:abstractNumId w:val="10"/>
  </w:num>
  <w:num w:numId="14" w16cid:durableId="849754475">
    <w:abstractNumId w:val="4"/>
  </w:num>
  <w:num w:numId="15" w16cid:durableId="891696245">
    <w:abstractNumId w:val="15"/>
  </w:num>
  <w:num w:numId="16" w16cid:durableId="19079506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E55"/>
    <w:rsid w:val="00006ACB"/>
    <w:rsid w:val="000167E5"/>
    <w:rsid w:val="00016F52"/>
    <w:rsid w:val="00017A33"/>
    <w:rsid w:val="00030AD6"/>
    <w:rsid w:val="00035CBB"/>
    <w:rsid w:val="00036AFB"/>
    <w:rsid w:val="00043B9D"/>
    <w:rsid w:val="0004652B"/>
    <w:rsid w:val="00050871"/>
    <w:rsid w:val="0005336E"/>
    <w:rsid w:val="00054F98"/>
    <w:rsid w:val="00064B30"/>
    <w:rsid w:val="00065324"/>
    <w:rsid w:val="00073B57"/>
    <w:rsid w:val="00074009"/>
    <w:rsid w:val="00077D97"/>
    <w:rsid w:val="00082EB2"/>
    <w:rsid w:val="000860A3"/>
    <w:rsid w:val="000A3489"/>
    <w:rsid w:val="000A4E22"/>
    <w:rsid w:val="000A5899"/>
    <w:rsid w:val="000B01DA"/>
    <w:rsid w:val="000B6C73"/>
    <w:rsid w:val="000C3446"/>
    <w:rsid w:val="000C364D"/>
    <w:rsid w:val="000D3159"/>
    <w:rsid w:val="000E0350"/>
    <w:rsid w:val="000E63A4"/>
    <w:rsid w:val="000F057C"/>
    <w:rsid w:val="001040C8"/>
    <w:rsid w:val="0012643B"/>
    <w:rsid w:val="00136E2A"/>
    <w:rsid w:val="00167E6E"/>
    <w:rsid w:val="0018147C"/>
    <w:rsid w:val="001823BD"/>
    <w:rsid w:val="00195398"/>
    <w:rsid w:val="00196EEA"/>
    <w:rsid w:val="001A2785"/>
    <w:rsid w:val="001A595E"/>
    <w:rsid w:val="001A7397"/>
    <w:rsid w:val="001B0CEA"/>
    <w:rsid w:val="001B6187"/>
    <w:rsid w:val="001C16A2"/>
    <w:rsid w:val="001C1D01"/>
    <w:rsid w:val="001C22C5"/>
    <w:rsid w:val="001C65D9"/>
    <w:rsid w:val="001D145E"/>
    <w:rsid w:val="001D1AC2"/>
    <w:rsid w:val="001D1C5F"/>
    <w:rsid w:val="001E1D20"/>
    <w:rsid w:val="001F0D0F"/>
    <w:rsid w:val="001F26F5"/>
    <w:rsid w:val="002011C6"/>
    <w:rsid w:val="00205F37"/>
    <w:rsid w:val="002072D1"/>
    <w:rsid w:val="002101ED"/>
    <w:rsid w:val="002172EC"/>
    <w:rsid w:val="00220065"/>
    <w:rsid w:val="00224835"/>
    <w:rsid w:val="00233FD0"/>
    <w:rsid w:val="00235057"/>
    <w:rsid w:val="002437E8"/>
    <w:rsid w:val="00243FCB"/>
    <w:rsid w:val="00247CF1"/>
    <w:rsid w:val="00251357"/>
    <w:rsid w:val="00260E1D"/>
    <w:rsid w:val="00265534"/>
    <w:rsid w:val="00271E7F"/>
    <w:rsid w:val="002906A8"/>
    <w:rsid w:val="00294403"/>
    <w:rsid w:val="002A071E"/>
    <w:rsid w:val="002A36B3"/>
    <w:rsid w:val="002A3BF3"/>
    <w:rsid w:val="002A5EF0"/>
    <w:rsid w:val="002A68FC"/>
    <w:rsid w:val="002B5BCE"/>
    <w:rsid w:val="002D2911"/>
    <w:rsid w:val="002D7E78"/>
    <w:rsid w:val="002E1CBB"/>
    <w:rsid w:val="002E234A"/>
    <w:rsid w:val="002F7DDC"/>
    <w:rsid w:val="00307F03"/>
    <w:rsid w:val="00311C73"/>
    <w:rsid w:val="00313751"/>
    <w:rsid w:val="00313FC1"/>
    <w:rsid w:val="003217E0"/>
    <w:rsid w:val="00325044"/>
    <w:rsid w:val="003256CC"/>
    <w:rsid w:val="0033075B"/>
    <w:rsid w:val="0033110E"/>
    <w:rsid w:val="003411E9"/>
    <w:rsid w:val="00341FB0"/>
    <w:rsid w:val="00342336"/>
    <w:rsid w:val="003445FE"/>
    <w:rsid w:val="0035714C"/>
    <w:rsid w:val="00365EAF"/>
    <w:rsid w:val="00371E0E"/>
    <w:rsid w:val="00373449"/>
    <w:rsid w:val="00380FC9"/>
    <w:rsid w:val="0038140E"/>
    <w:rsid w:val="00385182"/>
    <w:rsid w:val="00394A24"/>
    <w:rsid w:val="003A33F8"/>
    <w:rsid w:val="003A47E0"/>
    <w:rsid w:val="003A4C5E"/>
    <w:rsid w:val="003A75AE"/>
    <w:rsid w:val="003A773F"/>
    <w:rsid w:val="003B6413"/>
    <w:rsid w:val="003C188E"/>
    <w:rsid w:val="003C244E"/>
    <w:rsid w:val="003C4EE6"/>
    <w:rsid w:val="003D7331"/>
    <w:rsid w:val="003E1A2B"/>
    <w:rsid w:val="003E432B"/>
    <w:rsid w:val="004072CD"/>
    <w:rsid w:val="004118A3"/>
    <w:rsid w:val="00421653"/>
    <w:rsid w:val="00426292"/>
    <w:rsid w:val="00430015"/>
    <w:rsid w:val="00431492"/>
    <w:rsid w:val="00433FB6"/>
    <w:rsid w:val="0043693D"/>
    <w:rsid w:val="00440963"/>
    <w:rsid w:val="004516E3"/>
    <w:rsid w:val="004572B9"/>
    <w:rsid w:val="00460637"/>
    <w:rsid w:val="00464FE2"/>
    <w:rsid w:val="00467867"/>
    <w:rsid w:val="0047233D"/>
    <w:rsid w:val="00472492"/>
    <w:rsid w:val="00477461"/>
    <w:rsid w:val="00484BBE"/>
    <w:rsid w:val="00491875"/>
    <w:rsid w:val="004A4BBA"/>
    <w:rsid w:val="004A5017"/>
    <w:rsid w:val="004A6358"/>
    <w:rsid w:val="004A640E"/>
    <w:rsid w:val="004B128A"/>
    <w:rsid w:val="004B3129"/>
    <w:rsid w:val="004C34D9"/>
    <w:rsid w:val="004C35DB"/>
    <w:rsid w:val="004C6542"/>
    <w:rsid w:val="004D17A6"/>
    <w:rsid w:val="004D63FE"/>
    <w:rsid w:val="004D67E5"/>
    <w:rsid w:val="004E2F2B"/>
    <w:rsid w:val="004F3996"/>
    <w:rsid w:val="004F3D02"/>
    <w:rsid w:val="004F42F7"/>
    <w:rsid w:val="004F6267"/>
    <w:rsid w:val="00501AF7"/>
    <w:rsid w:val="00504DE4"/>
    <w:rsid w:val="00505654"/>
    <w:rsid w:val="005115C7"/>
    <w:rsid w:val="00513FBB"/>
    <w:rsid w:val="0051773D"/>
    <w:rsid w:val="005177D4"/>
    <w:rsid w:val="00521DD3"/>
    <w:rsid w:val="00530940"/>
    <w:rsid w:val="005324A4"/>
    <w:rsid w:val="0054183B"/>
    <w:rsid w:val="00543551"/>
    <w:rsid w:val="005538E2"/>
    <w:rsid w:val="0056596A"/>
    <w:rsid w:val="00574A12"/>
    <w:rsid w:val="00577317"/>
    <w:rsid w:val="00577FD8"/>
    <w:rsid w:val="0058329F"/>
    <w:rsid w:val="005A0434"/>
    <w:rsid w:val="005A205A"/>
    <w:rsid w:val="005A3E3E"/>
    <w:rsid w:val="005A7DA8"/>
    <w:rsid w:val="005B0166"/>
    <w:rsid w:val="005B2EE8"/>
    <w:rsid w:val="005B62F5"/>
    <w:rsid w:val="005C113D"/>
    <w:rsid w:val="005C5739"/>
    <w:rsid w:val="005D132C"/>
    <w:rsid w:val="005D240B"/>
    <w:rsid w:val="005D494F"/>
    <w:rsid w:val="005D5530"/>
    <w:rsid w:val="005D7C15"/>
    <w:rsid w:val="005E2796"/>
    <w:rsid w:val="005E4400"/>
    <w:rsid w:val="006019A0"/>
    <w:rsid w:val="00607A4E"/>
    <w:rsid w:val="006113A9"/>
    <w:rsid w:val="006130BA"/>
    <w:rsid w:val="006174D2"/>
    <w:rsid w:val="00617EB8"/>
    <w:rsid w:val="00623C97"/>
    <w:rsid w:val="00630CA5"/>
    <w:rsid w:val="0063798A"/>
    <w:rsid w:val="006549D5"/>
    <w:rsid w:val="00656DB4"/>
    <w:rsid w:val="00672B59"/>
    <w:rsid w:val="00672E72"/>
    <w:rsid w:val="00673CFA"/>
    <w:rsid w:val="006741B7"/>
    <w:rsid w:val="006840FA"/>
    <w:rsid w:val="006867D8"/>
    <w:rsid w:val="00687F4E"/>
    <w:rsid w:val="006950E1"/>
    <w:rsid w:val="006A099D"/>
    <w:rsid w:val="006B231E"/>
    <w:rsid w:val="006B3B59"/>
    <w:rsid w:val="006B69D8"/>
    <w:rsid w:val="006B7EC0"/>
    <w:rsid w:val="006C0931"/>
    <w:rsid w:val="006C2B8C"/>
    <w:rsid w:val="006C52F6"/>
    <w:rsid w:val="006E07EC"/>
    <w:rsid w:val="006E2D96"/>
    <w:rsid w:val="006E4337"/>
    <w:rsid w:val="006E740F"/>
    <w:rsid w:val="006F3358"/>
    <w:rsid w:val="006F71FD"/>
    <w:rsid w:val="006F7B9B"/>
    <w:rsid w:val="00706C48"/>
    <w:rsid w:val="00710F9F"/>
    <w:rsid w:val="00712C4E"/>
    <w:rsid w:val="00712F04"/>
    <w:rsid w:val="0071356A"/>
    <w:rsid w:val="00713BEB"/>
    <w:rsid w:val="00714F66"/>
    <w:rsid w:val="007159B3"/>
    <w:rsid w:val="00721B6E"/>
    <w:rsid w:val="00721EA9"/>
    <w:rsid w:val="00723F8E"/>
    <w:rsid w:val="00725AF8"/>
    <w:rsid w:val="007276A4"/>
    <w:rsid w:val="007338E0"/>
    <w:rsid w:val="0073640B"/>
    <w:rsid w:val="00737BB9"/>
    <w:rsid w:val="007650E1"/>
    <w:rsid w:val="00765449"/>
    <w:rsid w:val="00770948"/>
    <w:rsid w:val="00770FBC"/>
    <w:rsid w:val="00772664"/>
    <w:rsid w:val="0077344F"/>
    <w:rsid w:val="00782DDC"/>
    <w:rsid w:val="00784007"/>
    <w:rsid w:val="00784D91"/>
    <w:rsid w:val="007877B7"/>
    <w:rsid w:val="007918C9"/>
    <w:rsid w:val="007A3888"/>
    <w:rsid w:val="007A38E3"/>
    <w:rsid w:val="007A6EC9"/>
    <w:rsid w:val="007B244C"/>
    <w:rsid w:val="007C3A7F"/>
    <w:rsid w:val="007C5B5B"/>
    <w:rsid w:val="007C68EA"/>
    <w:rsid w:val="007D5355"/>
    <w:rsid w:val="007D5F5D"/>
    <w:rsid w:val="007F0768"/>
    <w:rsid w:val="007F2120"/>
    <w:rsid w:val="00802027"/>
    <w:rsid w:val="008023FD"/>
    <w:rsid w:val="008032F0"/>
    <w:rsid w:val="00806B75"/>
    <w:rsid w:val="0081614E"/>
    <w:rsid w:val="00822028"/>
    <w:rsid w:val="00826DDF"/>
    <w:rsid w:val="00842D3B"/>
    <w:rsid w:val="00842F28"/>
    <w:rsid w:val="00852F9D"/>
    <w:rsid w:val="008578A9"/>
    <w:rsid w:val="0086561C"/>
    <w:rsid w:val="008848D2"/>
    <w:rsid w:val="00887D3E"/>
    <w:rsid w:val="008906F3"/>
    <w:rsid w:val="0089150B"/>
    <w:rsid w:val="00893E48"/>
    <w:rsid w:val="00895D44"/>
    <w:rsid w:val="008A3895"/>
    <w:rsid w:val="008B0B1C"/>
    <w:rsid w:val="008B3FEB"/>
    <w:rsid w:val="008B61D2"/>
    <w:rsid w:val="008B6BE7"/>
    <w:rsid w:val="008C3692"/>
    <w:rsid w:val="008C499B"/>
    <w:rsid w:val="008C76FB"/>
    <w:rsid w:val="008D1804"/>
    <w:rsid w:val="008D1E98"/>
    <w:rsid w:val="008E5A91"/>
    <w:rsid w:val="008F163A"/>
    <w:rsid w:val="008F2F54"/>
    <w:rsid w:val="00910EEE"/>
    <w:rsid w:val="0091316D"/>
    <w:rsid w:val="00914C7A"/>
    <w:rsid w:val="009204B3"/>
    <w:rsid w:val="00921459"/>
    <w:rsid w:val="00921B3E"/>
    <w:rsid w:val="009272DB"/>
    <w:rsid w:val="00933EDB"/>
    <w:rsid w:val="009364F4"/>
    <w:rsid w:val="00936D18"/>
    <w:rsid w:val="0093753D"/>
    <w:rsid w:val="00944260"/>
    <w:rsid w:val="00947682"/>
    <w:rsid w:val="00961661"/>
    <w:rsid w:val="00962A36"/>
    <w:rsid w:val="009651B3"/>
    <w:rsid w:val="009665AE"/>
    <w:rsid w:val="00967F7F"/>
    <w:rsid w:val="00967FBD"/>
    <w:rsid w:val="009724B7"/>
    <w:rsid w:val="00972585"/>
    <w:rsid w:val="00972AD9"/>
    <w:rsid w:val="00976A49"/>
    <w:rsid w:val="00980E09"/>
    <w:rsid w:val="0099702C"/>
    <w:rsid w:val="009976C8"/>
    <w:rsid w:val="009A2796"/>
    <w:rsid w:val="009B0E86"/>
    <w:rsid w:val="009C02EB"/>
    <w:rsid w:val="009C6AF6"/>
    <w:rsid w:val="009D2ABD"/>
    <w:rsid w:val="009D3B47"/>
    <w:rsid w:val="009E086A"/>
    <w:rsid w:val="009E3458"/>
    <w:rsid w:val="009E4B5F"/>
    <w:rsid w:val="009E788A"/>
    <w:rsid w:val="009F164E"/>
    <w:rsid w:val="009F3292"/>
    <w:rsid w:val="009F4F25"/>
    <w:rsid w:val="00A02321"/>
    <w:rsid w:val="00A069E4"/>
    <w:rsid w:val="00A10837"/>
    <w:rsid w:val="00A10929"/>
    <w:rsid w:val="00A201B2"/>
    <w:rsid w:val="00A24257"/>
    <w:rsid w:val="00A24618"/>
    <w:rsid w:val="00A274A8"/>
    <w:rsid w:val="00A27A56"/>
    <w:rsid w:val="00A33378"/>
    <w:rsid w:val="00A34287"/>
    <w:rsid w:val="00A37862"/>
    <w:rsid w:val="00A42D8A"/>
    <w:rsid w:val="00A5062C"/>
    <w:rsid w:val="00A50F2C"/>
    <w:rsid w:val="00A57608"/>
    <w:rsid w:val="00A57AF0"/>
    <w:rsid w:val="00A6749E"/>
    <w:rsid w:val="00A71F20"/>
    <w:rsid w:val="00A72719"/>
    <w:rsid w:val="00A77812"/>
    <w:rsid w:val="00A830E5"/>
    <w:rsid w:val="00A837C0"/>
    <w:rsid w:val="00A872A6"/>
    <w:rsid w:val="00A90156"/>
    <w:rsid w:val="00A903DC"/>
    <w:rsid w:val="00AA041C"/>
    <w:rsid w:val="00AB06D5"/>
    <w:rsid w:val="00AD15AD"/>
    <w:rsid w:val="00AD2F29"/>
    <w:rsid w:val="00AE4E55"/>
    <w:rsid w:val="00AE6FF7"/>
    <w:rsid w:val="00AF3798"/>
    <w:rsid w:val="00B022FD"/>
    <w:rsid w:val="00B029C7"/>
    <w:rsid w:val="00B03211"/>
    <w:rsid w:val="00B14EBF"/>
    <w:rsid w:val="00B20875"/>
    <w:rsid w:val="00B235C8"/>
    <w:rsid w:val="00B23763"/>
    <w:rsid w:val="00B26DB0"/>
    <w:rsid w:val="00B40226"/>
    <w:rsid w:val="00B416FE"/>
    <w:rsid w:val="00B53B27"/>
    <w:rsid w:val="00B641C0"/>
    <w:rsid w:val="00B70D2D"/>
    <w:rsid w:val="00B81525"/>
    <w:rsid w:val="00B81AEB"/>
    <w:rsid w:val="00B847A9"/>
    <w:rsid w:val="00B85B6B"/>
    <w:rsid w:val="00B931A2"/>
    <w:rsid w:val="00BA42DA"/>
    <w:rsid w:val="00BB4A10"/>
    <w:rsid w:val="00BC189E"/>
    <w:rsid w:val="00BC5B4F"/>
    <w:rsid w:val="00BD1AD8"/>
    <w:rsid w:val="00BD43E3"/>
    <w:rsid w:val="00BD576F"/>
    <w:rsid w:val="00BD6AF3"/>
    <w:rsid w:val="00BD7403"/>
    <w:rsid w:val="00BE163A"/>
    <w:rsid w:val="00BE21B6"/>
    <w:rsid w:val="00BE3D58"/>
    <w:rsid w:val="00BF0620"/>
    <w:rsid w:val="00BF1F0E"/>
    <w:rsid w:val="00BF3666"/>
    <w:rsid w:val="00C00A81"/>
    <w:rsid w:val="00C04334"/>
    <w:rsid w:val="00C04B6D"/>
    <w:rsid w:val="00C0570F"/>
    <w:rsid w:val="00C1208B"/>
    <w:rsid w:val="00C125C5"/>
    <w:rsid w:val="00C13A89"/>
    <w:rsid w:val="00C14C21"/>
    <w:rsid w:val="00C153DF"/>
    <w:rsid w:val="00C31700"/>
    <w:rsid w:val="00C34E72"/>
    <w:rsid w:val="00C35EA3"/>
    <w:rsid w:val="00C36B3F"/>
    <w:rsid w:val="00C512E3"/>
    <w:rsid w:val="00C62C6B"/>
    <w:rsid w:val="00C6694E"/>
    <w:rsid w:val="00C67200"/>
    <w:rsid w:val="00C67906"/>
    <w:rsid w:val="00C72908"/>
    <w:rsid w:val="00C767DC"/>
    <w:rsid w:val="00C76BD7"/>
    <w:rsid w:val="00C83C4B"/>
    <w:rsid w:val="00C97C32"/>
    <w:rsid w:val="00CA01FE"/>
    <w:rsid w:val="00CA5912"/>
    <w:rsid w:val="00CB4E3F"/>
    <w:rsid w:val="00CC1D0E"/>
    <w:rsid w:val="00CC3E71"/>
    <w:rsid w:val="00CC4498"/>
    <w:rsid w:val="00CC7D9F"/>
    <w:rsid w:val="00CD0F45"/>
    <w:rsid w:val="00CD16A1"/>
    <w:rsid w:val="00CD4BE6"/>
    <w:rsid w:val="00CD65E3"/>
    <w:rsid w:val="00CD7819"/>
    <w:rsid w:val="00CF0895"/>
    <w:rsid w:val="00CF15C1"/>
    <w:rsid w:val="00CF1D77"/>
    <w:rsid w:val="00CF6696"/>
    <w:rsid w:val="00CF6996"/>
    <w:rsid w:val="00CF750F"/>
    <w:rsid w:val="00D0000A"/>
    <w:rsid w:val="00D04DD9"/>
    <w:rsid w:val="00D17512"/>
    <w:rsid w:val="00D20189"/>
    <w:rsid w:val="00D21AF8"/>
    <w:rsid w:val="00D263F1"/>
    <w:rsid w:val="00D278E6"/>
    <w:rsid w:val="00D27EB5"/>
    <w:rsid w:val="00D31F47"/>
    <w:rsid w:val="00D3538A"/>
    <w:rsid w:val="00D376EA"/>
    <w:rsid w:val="00D410D0"/>
    <w:rsid w:val="00D41B76"/>
    <w:rsid w:val="00D42D4B"/>
    <w:rsid w:val="00D51340"/>
    <w:rsid w:val="00D57291"/>
    <w:rsid w:val="00D613BB"/>
    <w:rsid w:val="00D672CF"/>
    <w:rsid w:val="00D71266"/>
    <w:rsid w:val="00D73F8A"/>
    <w:rsid w:val="00D810FB"/>
    <w:rsid w:val="00D956FF"/>
    <w:rsid w:val="00DA557B"/>
    <w:rsid w:val="00DB5C42"/>
    <w:rsid w:val="00DC0C18"/>
    <w:rsid w:val="00DC1904"/>
    <w:rsid w:val="00DC21EB"/>
    <w:rsid w:val="00DD7D1F"/>
    <w:rsid w:val="00DE0BA9"/>
    <w:rsid w:val="00DE2D9B"/>
    <w:rsid w:val="00E0260B"/>
    <w:rsid w:val="00E05AD7"/>
    <w:rsid w:val="00E07C26"/>
    <w:rsid w:val="00E207DC"/>
    <w:rsid w:val="00E234C1"/>
    <w:rsid w:val="00E361EE"/>
    <w:rsid w:val="00E5318A"/>
    <w:rsid w:val="00E5756A"/>
    <w:rsid w:val="00E575D7"/>
    <w:rsid w:val="00E6680D"/>
    <w:rsid w:val="00E77F1E"/>
    <w:rsid w:val="00E80D4A"/>
    <w:rsid w:val="00E81622"/>
    <w:rsid w:val="00E84BD5"/>
    <w:rsid w:val="00EA72D3"/>
    <w:rsid w:val="00EC51CB"/>
    <w:rsid w:val="00EE01EC"/>
    <w:rsid w:val="00EE34B4"/>
    <w:rsid w:val="00EE6F57"/>
    <w:rsid w:val="00EF795E"/>
    <w:rsid w:val="00F005D2"/>
    <w:rsid w:val="00F04D6D"/>
    <w:rsid w:val="00F22B2C"/>
    <w:rsid w:val="00F262E4"/>
    <w:rsid w:val="00F26D70"/>
    <w:rsid w:val="00F27CAC"/>
    <w:rsid w:val="00F3122C"/>
    <w:rsid w:val="00F41538"/>
    <w:rsid w:val="00F441E7"/>
    <w:rsid w:val="00F47B6D"/>
    <w:rsid w:val="00F64F2C"/>
    <w:rsid w:val="00F66232"/>
    <w:rsid w:val="00F7609E"/>
    <w:rsid w:val="00F816F6"/>
    <w:rsid w:val="00F82283"/>
    <w:rsid w:val="00F85377"/>
    <w:rsid w:val="00F902DD"/>
    <w:rsid w:val="00F9195C"/>
    <w:rsid w:val="00FA360D"/>
    <w:rsid w:val="00FA6C03"/>
    <w:rsid w:val="00FB18B0"/>
    <w:rsid w:val="00FB4E7B"/>
    <w:rsid w:val="00FC08CB"/>
    <w:rsid w:val="00FC1DBB"/>
    <w:rsid w:val="00FC3940"/>
    <w:rsid w:val="00FC7DA8"/>
    <w:rsid w:val="00FD6344"/>
    <w:rsid w:val="00FE309C"/>
    <w:rsid w:val="00FF591B"/>
    <w:rsid w:val="03469DE7"/>
    <w:rsid w:val="03B981C3"/>
    <w:rsid w:val="2AE4CAA1"/>
    <w:rsid w:val="2B1A4A33"/>
    <w:rsid w:val="2DD186E2"/>
    <w:rsid w:val="344898DB"/>
    <w:rsid w:val="42A92C6F"/>
    <w:rsid w:val="48EF5655"/>
    <w:rsid w:val="49C88BD8"/>
    <w:rsid w:val="526476DA"/>
    <w:rsid w:val="5EE7B2F3"/>
    <w:rsid w:val="69DE7E3F"/>
    <w:rsid w:val="7658C670"/>
    <w:rsid w:val="7E045839"/>
    <w:rsid w:val="7EB3E2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A448B"/>
  <w15:chartTrackingRefBased/>
  <w15:docId w15:val="{83E20C33-1236-4C84-91D4-E559279BC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E55"/>
    <w:pPr>
      <w:widowControl w:val="0"/>
      <w:autoSpaceDE w:val="0"/>
      <w:autoSpaceDN w:val="0"/>
      <w:spacing w:after="0" w:line="240" w:lineRule="auto"/>
    </w:pPr>
    <w:rPr>
      <w:rFonts w:ascii="OpenSans-Light" w:eastAsia="OpenSans-Light" w:hAnsi="OpenSans-Light" w:cs="OpenSans-Light"/>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E4E55"/>
    <w:pPr>
      <w:spacing w:before="20"/>
      <w:ind w:left="20"/>
    </w:pPr>
    <w:rPr>
      <w:sz w:val="20"/>
      <w:szCs w:val="20"/>
    </w:rPr>
  </w:style>
  <w:style w:type="character" w:customStyle="1" w:styleId="BodyTextChar">
    <w:name w:val="Body Text Char"/>
    <w:basedOn w:val="DefaultParagraphFont"/>
    <w:link w:val="BodyText"/>
    <w:uiPriority w:val="1"/>
    <w:rsid w:val="00AE4E55"/>
    <w:rPr>
      <w:rFonts w:ascii="OpenSans-Light" w:eastAsia="OpenSans-Light" w:hAnsi="OpenSans-Light" w:cs="OpenSans-Light"/>
      <w:kern w:val="0"/>
      <w:sz w:val="20"/>
      <w:szCs w:val="20"/>
      <w14:ligatures w14:val="none"/>
    </w:rPr>
  </w:style>
  <w:style w:type="paragraph" w:customStyle="1" w:styleId="Headlineredcaps">
    <w:name w:val="Headline red caps"/>
    <w:basedOn w:val="Normal"/>
    <w:qFormat/>
    <w:rsid w:val="00AE4E55"/>
    <w:pPr>
      <w:spacing w:before="20"/>
      <w:ind w:left="20"/>
    </w:pPr>
    <w:rPr>
      <w:rFonts w:ascii="Montserrat"/>
      <w:b/>
      <w:caps/>
      <w:color w:val="F9353E"/>
      <w:sz w:val="34"/>
    </w:rPr>
  </w:style>
  <w:style w:type="character" w:styleId="Hyperlink">
    <w:name w:val="Hyperlink"/>
    <w:basedOn w:val="DefaultParagraphFont"/>
    <w:uiPriority w:val="99"/>
    <w:unhideWhenUsed/>
    <w:rsid w:val="00AE4E55"/>
    <w:rPr>
      <w:color w:val="0563C1" w:themeColor="hyperlink"/>
      <w:u w:val="single"/>
    </w:rPr>
  </w:style>
  <w:style w:type="paragraph" w:customStyle="1" w:styleId="Headlinebluecaps">
    <w:name w:val="Headline blue caps"/>
    <w:basedOn w:val="Normal"/>
    <w:qFormat/>
    <w:rsid w:val="00AE4E55"/>
    <w:pPr>
      <w:spacing w:before="20"/>
      <w:ind w:left="20"/>
    </w:pPr>
    <w:rPr>
      <w:rFonts w:ascii="Montserrat"/>
      <w:b/>
      <w:caps/>
      <w:color w:val="001D40"/>
      <w:sz w:val="34"/>
    </w:rPr>
  </w:style>
  <w:style w:type="paragraph" w:styleId="Footer">
    <w:name w:val="footer"/>
    <w:basedOn w:val="Normal"/>
    <w:link w:val="FooterChar"/>
    <w:uiPriority w:val="99"/>
    <w:unhideWhenUsed/>
    <w:rsid w:val="00AE4E55"/>
    <w:pPr>
      <w:tabs>
        <w:tab w:val="center" w:pos="4680"/>
        <w:tab w:val="right" w:pos="9360"/>
      </w:tabs>
    </w:pPr>
  </w:style>
  <w:style w:type="character" w:customStyle="1" w:styleId="FooterChar">
    <w:name w:val="Footer Char"/>
    <w:basedOn w:val="DefaultParagraphFont"/>
    <w:link w:val="Footer"/>
    <w:uiPriority w:val="99"/>
    <w:rsid w:val="00AE4E55"/>
    <w:rPr>
      <w:rFonts w:ascii="OpenSans-Light" w:eastAsia="OpenSans-Light" w:hAnsi="OpenSans-Light" w:cs="OpenSans-Light"/>
      <w:kern w:val="0"/>
      <w14:ligatures w14:val="none"/>
    </w:rPr>
  </w:style>
  <w:style w:type="character" w:styleId="UnresolvedMention">
    <w:name w:val="Unresolved Mention"/>
    <w:basedOn w:val="DefaultParagraphFont"/>
    <w:uiPriority w:val="99"/>
    <w:semiHidden/>
    <w:unhideWhenUsed/>
    <w:rsid w:val="008023FD"/>
    <w:rPr>
      <w:color w:val="605E5C"/>
      <w:shd w:val="clear" w:color="auto" w:fill="E1DFDD"/>
    </w:rPr>
  </w:style>
  <w:style w:type="character" w:styleId="FollowedHyperlink">
    <w:name w:val="FollowedHyperlink"/>
    <w:basedOn w:val="DefaultParagraphFont"/>
    <w:uiPriority w:val="99"/>
    <w:semiHidden/>
    <w:unhideWhenUsed/>
    <w:rsid w:val="00077D97"/>
    <w:rPr>
      <w:color w:val="954F72" w:themeColor="followedHyperlink"/>
      <w:u w:val="single"/>
    </w:rPr>
  </w:style>
  <w:style w:type="table" w:styleId="TableGrid">
    <w:name w:val="Table Grid"/>
    <w:basedOn w:val="TableNormal"/>
    <w:uiPriority w:val="39"/>
    <w:rsid w:val="00A27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67E5"/>
    <w:pPr>
      <w:ind w:left="720"/>
      <w:contextualSpacing/>
    </w:pPr>
  </w:style>
  <w:style w:type="paragraph" w:styleId="Header">
    <w:name w:val="header"/>
    <w:basedOn w:val="Normal"/>
    <w:link w:val="HeaderChar"/>
    <w:uiPriority w:val="99"/>
    <w:unhideWhenUsed/>
    <w:rsid w:val="005324A4"/>
    <w:pPr>
      <w:tabs>
        <w:tab w:val="center" w:pos="4680"/>
        <w:tab w:val="right" w:pos="9360"/>
      </w:tabs>
    </w:pPr>
  </w:style>
  <w:style w:type="character" w:customStyle="1" w:styleId="HeaderChar">
    <w:name w:val="Header Char"/>
    <w:basedOn w:val="DefaultParagraphFont"/>
    <w:link w:val="Header"/>
    <w:uiPriority w:val="99"/>
    <w:rsid w:val="005324A4"/>
    <w:rPr>
      <w:rFonts w:ascii="OpenSans-Light" w:eastAsia="OpenSans-Light" w:hAnsi="OpenSans-Light" w:cs="OpenSans-Light"/>
      <w:kern w:val="0"/>
      <w14:ligatures w14:val="no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OpenSans-Light" w:eastAsia="OpenSans-Light" w:hAnsi="OpenSans-Light" w:cs="OpenSans-Light"/>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character" w:customStyle="1" w:styleId="cf01">
    <w:name w:val="cf01"/>
    <w:basedOn w:val="DefaultParagraphFont"/>
    <w:rsid w:val="00233FD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6879">
      <w:bodyDiv w:val="1"/>
      <w:marLeft w:val="0"/>
      <w:marRight w:val="0"/>
      <w:marTop w:val="0"/>
      <w:marBottom w:val="0"/>
      <w:divBdr>
        <w:top w:val="none" w:sz="0" w:space="0" w:color="auto"/>
        <w:left w:val="none" w:sz="0" w:space="0" w:color="auto"/>
        <w:bottom w:val="none" w:sz="0" w:space="0" w:color="auto"/>
        <w:right w:val="none" w:sz="0" w:space="0" w:color="auto"/>
      </w:divBdr>
    </w:div>
    <w:div w:id="417018792">
      <w:bodyDiv w:val="1"/>
      <w:marLeft w:val="0"/>
      <w:marRight w:val="0"/>
      <w:marTop w:val="0"/>
      <w:marBottom w:val="0"/>
      <w:divBdr>
        <w:top w:val="none" w:sz="0" w:space="0" w:color="auto"/>
        <w:left w:val="none" w:sz="0" w:space="0" w:color="auto"/>
        <w:bottom w:val="none" w:sz="0" w:space="0" w:color="auto"/>
        <w:right w:val="none" w:sz="0" w:space="0" w:color="auto"/>
      </w:divBdr>
    </w:div>
    <w:div w:id="1026710172">
      <w:bodyDiv w:val="1"/>
      <w:marLeft w:val="0"/>
      <w:marRight w:val="0"/>
      <w:marTop w:val="0"/>
      <w:marBottom w:val="0"/>
      <w:divBdr>
        <w:top w:val="none" w:sz="0" w:space="0" w:color="auto"/>
        <w:left w:val="none" w:sz="0" w:space="0" w:color="auto"/>
        <w:bottom w:val="none" w:sz="0" w:space="0" w:color="auto"/>
        <w:right w:val="none" w:sz="0" w:space="0" w:color="auto"/>
      </w:divBdr>
    </w:div>
    <w:div w:id="1197040095">
      <w:bodyDiv w:val="1"/>
      <w:marLeft w:val="0"/>
      <w:marRight w:val="0"/>
      <w:marTop w:val="0"/>
      <w:marBottom w:val="0"/>
      <w:divBdr>
        <w:top w:val="none" w:sz="0" w:space="0" w:color="auto"/>
        <w:left w:val="none" w:sz="0" w:space="0" w:color="auto"/>
        <w:bottom w:val="none" w:sz="0" w:space="0" w:color="auto"/>
        <w:right w:val="none" w:sz="0" w:space="0" w:color="auto"/>
      </w:divBdr>
    </w:div>
    <w:div w:id="174268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info/funding-tenders/opportunities/docs/2021-2027/ucpm/wp-call/2024/call-fiche_ucpm-2024-kapp-pvpp_en.pdf" TargetMode="External"/><Relationship Id="rId26" Type="http://schemas.openxmlformats.org/officeDocument/2006/relationships/hyperlink" Target="https://civil-protection-knowledge-network.europa.eu/knowledge-action-prevention-preparednes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yperlink" Target="https://civil-protection-knowledge-network.europa.eu/knowledge-action-prevention-preparedness" TargetMode="External"/><Relationship Id="rId25" Type="http://schemas.openxmlformats.org/officeDocument/2006/relationships/hyperlink" Target="https://ec.europa.eu/info/funding-tenders/opportunities/docs/2021-2027/common/guidance/aga_en.pdf" TargetMode="External"/><Relationship Id="rId2" Type="http://schemas.openxmlformats.org/officeDocument/2006/relationships/customXml" Target="../customXml/item2.xml"/><Relationship Id="rId16" Type="http://schemas.openxmlformats.org/officeDocument/2006/relationships/hyperlink" Target="https://ec.europa.eu/info/funding-tenders/opportunities/docs/2021-2027/common/guidance/aga_en.pdf"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hyperlink" Target="https://ec.europa.eu/info/funding-tenders/opportunities/docs/2021-2027/ucpm/temp-form/af/af_ucpm-pp_en.pdf"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c.europa.eu/info/funding-tenders/opportunities/docs/2021-2027/ucpm/temp-form/af/af_ucpm-pp_en.pdf" TargetMode="External"/><Relationship Id="rId23" Type="http://schemas.openxmlformats.org/officeDocument/2006/relationships/hyperlink" Target="https://ec.europa.eu/info/funding-tenders/opportunities/portal/screen/opportunities/topic-search?tenders=false&amp;programmePart=&amp;callIdentifier=UCPM-2024-KAPP" TargetMode="External"/><Relationship Id="rId28" Type="http://schemas.openxmlformats.org/officeDocument/2006/relationships/footer" Target="footer4.xml"/><Relationship Id="rId10"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c.europa.eu/info/funding-tenders/opportunities/portal/screen/opportunities/topic-search?tenders=false&amp;programmePart=&amp;callIdentifier=UCPM-2024-KAPP" TargetMode="External"/><Relationship Id="rId22" Type="http://schemas.openxmlformats.org/officeDocument/2006/relationships/hyperlink" Target="https://ec.europa.eu/info/funding-tenders/opportunities/docs/2021-2027/ucpm/wp-call/2024/call-fiche_ucpm-2024-kapp-pvpp_en.pdf" TargetMode="External"/><Relationship Id="rId27" Type="http://schemas.openxmlformats.org/officeDocument/2006/relationships/image" Target="media/image1.png"/><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A285A48B8DCB4F92AB900B0A7FFFA2" ma:contentTypeVersion="13" ma:contentTypeDescription="Create a new document." ma:contentTypeScope="" ma:versionID="eaba5b0bf03afc502d45451886f87bf9">
  <xsd:schema xmlns:xsd="http://www.w3.org/2001/XMLSchema" xmlns:xs="http://www.w3.org/2001/XMLSchema" xmlns:p="http://schemas.microsoft.com/office/2006/metadata/properties" xmlns:ns2="5d0bb747-8259-435c-9f91-2e5d5f876a6a" xmlns:ns3="0ce9412a-3001-4109-9c35-472b7eb9f2c8" targetNamespace="http://schemas.microsoft.com/office/2006/metadata/properties" ma:root="true" ma:fieldsID="75ae867aa0dba4c9bb98dff2e6f910fb" ns2:_="" ns3:_="">
    <xsd:import namespace="5d0bb747-8259-435c-9f91-2e5d5f876a6a"/>
    <xsd:import namespace="0ce9412a-3001-4109-9c35-472b7eb9f2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bb747-8259-435c-9f91-2e5d5f876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e9412a-3001-4109-9c35-472b7eb9f2c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caa421-59d1-4d49-9aff-ded70cfecc38}" ma:internalName="TaxCatchAll" ma:showField="CatchAllData" ma:web="0ce9412a-3001-4109-9c35-472b7eb9f2c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ce9412a-3001-4109-9c35-472b7eb9f2c8" xsi:nil="true"/>
    <lcf76f155ced4ddcb4097134ff3c332f xmlns="5d0bb747-8259-435c-9f91-2e5d5f876a6a">
      <Terms xmlns="http://schemas.microsoft.com/office/infopath/2007/PartnerControls"/>
    </lcf76f155ced4ddcb4097134ff3c332f>
    <SharedWithUsers xmlns="0ce9412a-3001-4109-9c35-472b7eb9f2c8">
      <UserInfo>
        <DisplayName>Emilija Unė Sakalauskaitė</DisplayName>
        <AccountId>14</AccountId>
        <AccountType/>
      </UserInfo>
    </SharedWithUsers>
  </documentManagement>
</p:properties>
</file>

<file path=customXml/itemProps1.xml><?xml version="1.0" encoding="utf-8"?>
<ds:datastoreItem xmlns:ds="http://schemas.openxmlformats.org/officeDocument/2006/customXml" ds:itemID="{0FD058CC-5C0C-4D88-A67C-94DE86161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bb747-8259-435c-9f91-2e5d5f876a6a"/>
    <ds:schemaRef ds:uri="0ce9412a-3001-4109-9c35-472b7eb9f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4C6725-2C94-4188-BE26-46991CCA2456}">
  <ds:schemaRefs>
    <ds:schemaRef ds:uri="http://schemas.microsoft.com/sharepoint/v3/contenttype/forms"/>
  </ds:schemaRefs>
</ds:datastoreItem>
</file>

<file path=customXml/itemProps3.xml><?xml version="1.0" encoding="utf-8"?>
<ds:datastoreItem xmlns:ds="http://schemas.openxmlformats.org/officeDocument/2006/customXml" ds:itemID="{C942DEA3-CCBA-49EB-96A3-9AA66CCA3043}">
  <ds:schemaRefs>
    <ds:schemaRef ds:uri="http://schemas.microsoft.com/office/2006/metadata/properties"/>
    <ds:schemaRef ds:uri="http://schemas.microsoft.com/office/infopath/2007/PartnerControls"/>
    <ds:schemaRef ds:uri="0ce9412a-3001-4109-9c35-472b7eb9f2c8"/>
    <ds:schemaRef ds:uri="5d0bb747-8259-435c-9f91-2e5d5f876a6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1436</Words>
  <Characters>8188</Characters>
  <Application>Microsoft Office Word</Application>
  <DocSecurity>4</DocSecurity>
  <Lines>68</Lines>
  <Paragraphs>19</Paragraphs>
  <ScaleCrop>false</ScaleCrop>
  <Company>IFRC</Company>
  <LinksUpToDate>false</LinksUpToDate>
  <CharactersWithSpaces>9605</CharactersWithSpaces>
  <SharedDoc>false</SharedDoc>
  <HLinks>
    <vt:vector size="30" baseType="variant">
      <vt:variant>
        <vt:i4>5177374</vt:i4>
      </vt:variant>
      <vt:variant>
        <vt:i4>12</vt:i4>
      </vt:variant>
      <vt:variant>
        <vt:i4>0</vt:i4>
      </vt:variant>
      <vt:variant>
        <vt:i4>5</vt:i4>
      </vt:variant>
      <vt:variant>
        <vt:lpwstr>https://civil-protection-knowledge-network.europa.eu/knowledge-action-prevention-preparedness</vt:lpwstr>
      </vt:variant>
      <vt:variant>
        <vt:lpwstr>bcl-inpage-item-3909</vt:lpwstr>
      </vt:variant>
      <vt:variant>
        <vt:i4>1441845</vt:i4>
      </vt:variant>
      <vt:variant>
        <vt:i4>9</vt:i4>
      </vt:variant>
      <vt:variant>
        <vt:i4>0</vt:i4>
      </vt:variant>
      <vt:variant>
        <vt:i4>5</vt:i4>
      </vt:variant>
      <vt:variant>
        <vt:lpwstr>https://ec.europa.eu/info/funding-tenders/opportunities/docs/2021-2027/common/guidance/aga_en.pdf</vt:lpwstr>
      </vt:variant>
      <vt:variant>
        <vt:lpwstr/>
      </vt:variant>
      <vt:variant>
        <vt:i4>6815803</vt:i4>
      </vt:variant>
      <vt:variant>
        <vt:i4>6</vt:i4>
      </vt:variant>
      <vt:variant>
        <vt:i4>0</vt:i4>
      </vt:variant>
      <vt:variant>
        <vt:i4>5</vt:i4>
      </vt:variant>
      <vt:variant>
        <vt:lpwstr>https://ec.europa.eu/info/funding-tenders/opportunities/docs/2021-2027/ucpm/temp-form/af/af_ucpm-pp_en.pdf</vt:lpwstr>
      </vt:variant>
      <vt:variant>
        <vt:lpwstr/>
      </vt:variant>
      <vt:variant>
        <vt:i4>8323179</vt:i4>
      </vt:variant>
      <vt:variant>
        <vt:i4>3</vt:i4>
      </vt:variant>
      <vt:variant>
        <vt:i4>0</vt:i4>
      </vt:variant>
      <vt:variant>
        <vt:i4>5</vt:i4>
      </vt:variant>
      <vt:variant>
        <vt:lpwstr>https://ec.europa.eu/info/funding-tenders/opportunities/portal/screen/opportunities/topic-search?tenders=false&amp;programmePart=&amp;callIdentifier=UCPM-2024-KAPP</vt:lpwstr>
      </vt:variant>
      <vt:variant>
        <vt:lpwstr/>
      </vt:variant>
      <vt:variant>
        <vt:i4>7995508</vt:i4>
      </vt:variant>
      <vt:variant>
        <vt:i4>0</vt:i4>
      </vt:variant>
      <vt:variant>
        <vt:i4>0</vt:i4>
      </vt:variant>
      <vt:variant>
        <vt:i4>5</vt:i4>
      </vt:variant>
      <vt:variant>
        <vt:lpwstr>https://ec.europa.eu/info/funding-tenders/opportunities/docs/2021-2027/ucpm/wp-call/2024/call-fiche_ucpm-2024-kapp-pvpp_en.pdf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Gabor TOTH</dc:creator>
  <cp:keywords/>
  <dc:description/>
  <cp:lastModifiedBy>Liis Tipp</cp:lastModifiedBy>
  <cp:revision>2</cp:revision>
  <dcterms:created xsi:type="dcterms:W3CDTF">2024-04-16T07:56:00Z</dcterms:created>
  <dcterms:modified xsi:type="dcterms:W3CDTF">2024-04-16T07:56:00Z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Public</vt:lpwstr>
  </property>
  <property fmtid="{D5CDD505-2E9C-101B-9397-08002B2CF9AE}" pid="5" name="MSIP_Label_caf3f7fd-5cd4-4287-9002-aceb9af13c42_Enabled">
    <vt:lpwstr>true</vt:lpwstr>
  </property>
  <property fmtid="{D5CDD505-2E9C-101B-9397-08002B2CF9AE}" pid="6" name="MSIP_Label_caf3f7fd-5cd4-4287-9002-aceb9af13c42_SetDate">
    <vt:lpwstr>2023-09-06T08:01:14Z</vt:lpwstr>
  </property>
  <property fmtid="{D5CDD505-2E9C-101B-9397-08002B2CF9AE}" pid="7" name="MSIP_Label_caf3f7fd-5cd4-4287-9002-aceb9af13c42_Method">
    <vt:lpwstr>Privileged</vt:lpwstr>
  </property>
  <property fmtid="{D5CDD505-2E9C-101B-9397-08002B2CF9AE}" pid="8" name="MSIP_Label_caf3f7fd-5cd4-4287-9002-aceb9af13c42_Name">
    <vt:lpwstr>Public</vt:lpwstr>
  </property>
  <property fmtid="{D5CDD505-2E9C-101B-9397-08002B2CF9AE}" pid="9" name="MSIP_Label_caf3f7fd-5cd4-4287-9002-aceb9af13c42_SiteId">
    <vt:lpwstr>a2b53be5-734e-4e6c-ab0d-d184f60fd917</vt:lpwstr>
  </property>
  <property fmtid="{D5CDD505-2E9C-101B-9397-08002B2CF9AE}" pid="10" name="MSIP_Label_caf3f7fd-5cd4-4287-9002-aceb9af13c42_ActionId">
    <vt:lpwstr>0c281e2b-bc82-48da-8c7b-738aa3984e69</vt:lpwstr>
  </property>
  <property fmtid="{D5CDD505-2E9C-101B-9397-08002B2CF9AE}" pid="11" name="MSIP_Label_caf3f7fd-5cd4-4287-9002-aceb9af13c42_ContentBits">
    <vt:lpwstr>2</vt:lpwstr>
  </property>
  <property fmtid="{D5CDD505-2E9C-101B-9397-08002B2CF9AE}" pid="12" name="ContentTypeId">
    <vt:lpwstr>0x0101004CA285A48B8DCB4F92AB900B0A7FFFA2</vt:lpwstr>
  </property>
  <property fmtid="{D5CDD505-2E9C-101B-9397-08002B2CF9AE}" pid="13" name="MediaServiceImageTags">
    <vt:lpwstr/>
  </property>
</Properties>
</file>